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(PCF)</w:t>
      </w:r>
      <w:r>
        <w:t xml:space="preserve"> </w:t>
      </w:r>
      <w:r>
        <w:t xml:space="preserve">Analysis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ljrorssuyx</w:t>
      </w:r>
    </w:p>
    <w:p>
      <w:pPr>
        <w:pStyle w:val="FirstParagraph"/>
      </w:pPr>
      <w:r>
        <w:t xml:space="preserve">carboncalcpcf.com</w:t>
      </w:r>
    </w:p>
    <w:bookmarkStart w:id="21" w:name="product-carbon-footprint-analysis-report"/>
    <w:p>
      <w:pPr>
        <w:pStyle w:val="Heading1"/>
      </w:pPr>
      <w:r>
        <w:t xml:space="preserve">Product Carbon Footprint Analysis Report</w:t>
      </w:r>
    </w:p>
    <w:bookmarkStart w:id="20" w:name="product-ljrorssuyx"/>
    <w:p>
      <w:pPr>
        <w:pStyle w:val="Heading2"/>
      </w:pPr>
      <w:r>
        <w:t xml:space="preserve">Product: ljrorssuyx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pkoghtslzx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fvnurfuhqd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The accuracy is dependent on the completeness and reliability of the provided input parameters</w:t>
      </w:r>
      <w:r>
        <w:t xml:space="preserve"> </w:t>
      </w:r>
      <w:r>
        <w:t xml:space="preserve">and the emission factors used.</w:t>
      </w:r>
    </w:p>
    <w:bookmarkEnd w:id="20"/>
    <w:bookmarkEnd w:id="21"/>
    <w:bookmarkStart w:id="48" w:name="X200267d3df062bda786a455199871f30d7a0c18"/>
    <w:p>
      <w:pPr>
        <w:pStyle w:val="Heading1"/>
      </w:pPr>
      <w:r>
        <w:t xml:space="preserve">Product Carbon Footprint (PCF) Analysis Report for ljrorssuyx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21, 2026</w:t>
      </w:r>
    </w:p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\'ljrorssuyx\', manufactured by pkoghtslzx.</w:t>
      </w:r>
      <w:r>
        <w:t xml:space="preserve"> </w:t>
      </w:r>
      <w:r>
        <w:t xml:space="preserve">The analysis, conducted by fvnurfuhqd, Senior Sustainability Consultant, adheres strictly to the GHG Protocol,</w:t>
      </w:r>
      <w:r>
        <w:t xml:space="preserve"> </w:t>
      </w:r>
      <w:r>
        <w:t xml:space="preserve">including the 2026 Land Sector and Removals (LSR) Update and ensuring at least 95% Scope 3 coverage.</w:t>
      </w:r>
      <w:r>
        <w:t xml:space="preserve"> </w:t>
      </w:r>
      <w:r>
        <w:t xml:space="preserve">The assessment covers the entire lifecycle from raw material acquisition to end-of-life,</w:t>
      </w:r>
      <w:r>
        <w:t xml:space="preserve"> </w:t>
      </w:r>
      <w:r>
        <w:t xml:space="preserve">identifying key emission hotspots across materials, production, transport, use, and disposal phases.</w:t>
      </w:r>
    </w:p>
    <w:bookmarkEnd w:id="22"/>
    <w:bookmarkStart w:id="23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In response to growing environmental concerns and regulatory pressures, pkoghtslzx engaged fvnurfuhqd,</w:t>
      </w:r>
      <w:r>
        <w:t xml:space="preserve"> </w:t>
      </w:r>
      <w:r>
        <w:t xml:space="preserve">Senior Sustainability Consultant, to conduct a comprehensive Product Carbon Footprint (PCF)</w:t>
      </w:r>
      <w:r>
        <w:t xml:space="preserve"> </w:t>
      </w:r>
      <w:r>
        <w:t xml:space="preserve">assessment for its product, ljrorssuyx. This report details the methodology, data, and results</w:t>
      </w:r>
      <w:r>
        <w:t xml:space="preserve"> </w:t>
      </w:r>
      <w:r>
        <w:t xml:space="preserve">of this assessment, providing a transparent and actionable understanding of the product\'s environmental impact.</w:t>
      </w:r>
      <w:r>
        <w:t xml:space="preserve"> </w:t>
      </w:r>
      <w:r>
        <w:t xml:space="preserve">The analysis is performed in accordance with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, the most widely used international</w:t>
      </w:r>
      <w:r>
        <w:t xml:space="preserve"> </w:t>
      </w:r>
      <w:r>
        <w:t xml:space="preserve">accounting tool for quantifying greenhouse gas emissions.</w:t>
      </w:r>
    </w:p>
    <w:p>
      <w:r>
        <w:pict>
          <v:rect style="width:0;height:1.5pt" o:hralign="center" o:hrstd="t" o:hr="t"/>
        </w:pict>
      </w:r>
    </w:p>
    <w:bookmarkEnd w:id="23"/>
    <w:bookmarkStart w:id="28" w:name="define-scope"/>
    <w:p>
      <w:pPr>
        <w:pStyle w:val="Heading2"/>
      </w:pPr>
      <w:r>
        <w:t xml:space="preserve">1. Define Scope</w:t>
      </w:r>
    </w:p>
    <w:bookmarkStart w:id="24" w:name="functional-unit"/>
    <w:p>
      <w:pPr>
        <w:pStyle w:val="Heading3"/>
      </w:pPr>
      <w:r>
        <w:t xml:space="preserve">1.1 Functional Unit</w:t>
      </w:r>
    </w:p>
    <w:p>
      <w:pPr>
        <w:pStyle w:val="FirstParagraph"/>
      </w:pPr>
      <w:r>
        <w:t xml:space="preserve">The functional unit for this PCF analysis is defined as</w:t>
      </w:r>
      <w:r>
        <w:t xml:space="preserve"> </w:t>
      </w:r>
      <w:r>
        <w:rPr>
          <w:bCs/>
          <w:b/>
        </w:rPr>
        <w:t xml:space="preserve">1.0 unit of ljrorssuyx</w:t>
      </w:r>
      <w:r>
        <w:t xml:space="preserve">.</w:t>
      </w:r>
      <w:r>
        <w:t xml:space="preserve"> </w:t>
      </w:r>
      <w:r>
        <w:t xml:space="preserve">This unit serves as the reference basis for quantifying all relevant inputs and outputs throughout the product\'s lifecycle.</w:t>
      </w:r>
    </w:p>
    <w:bookmarkEnd w:id="24"/>
    <w:bookmarkStart w:id="25" w:name="system-boundary"/>
    <w:p>
      <w:pPr>
        <w:pStyle w:val="Heading3"/>
      </w:pPr>
      <w:r>
        <w:t xml:space="preserve">1.2 System Boundary</w:t>
      </w:r>
    </w:p>
    <w:p>
      <w:pPr>
        <w:pStyle w:val="FirstParagraph"/>
      </w:pPr>
      <w:r>
        <w:t xml:space="preserve">The system boundary for this analysis is defined as</w:t>
      </w:r>
      <w:r>
        <w:t xml:space="preserve"> </w:t>
      </w:r>
      <w:r>
        <w:rPr>
          <w:bCs/>
          <w:b/>
        </w:rPr>
        <w:t xml:space="preserve">factory_gate</w:t>
      </w:r>
      <w:r>
        <w:t xml:space="preserve">. This means the assessment</w:t>
      </w:r>
      <w:r>
        <w:t xml:space="preserve"> </w:t>
      </w:r>
      <w:r>
        <w:t xml:space="preserve">includes all emissions from raw material extraction, processing, and transportation to the manufacturing facility,</w:t>
      </w:r>
      <w:r>
        <w:t xml:space="preserve"> </w:t>
      </w:r>
      <w:r>
        <w:t xml:space="preserve">the production processes within the factory, and outbound logistics to distribution. Additionally,</w:t>
      </w:r>
      <w:r>
        <w:t xml:space="preserve"> </w:t>
      </w:r>
      <w:r>
        <w:t xml:space="preserve">the scope extends to cover the use phase and end-of-life treatment of the product.</w:t>
      </w:r>
      <w:r>
        <w:t xml:space="preserve"> </w:t>
      </w:r>
      <w:r>
        <w:t xml:space="preserve">This "cradle-to-grave" approach provides a holistic view of the product\'s environmental impact.</w:t>
      </w:r>
    </w:p>
    <w:bookmarkEnd w:id="25"/>
    <w:bookmarkStart w:id="26" w:name="geographic-scope"/>
    <w:p>
      <w:pPr>
        <w:pStyle w:val="Heading3"/>
      </w:pPr>
      <w:r>
        <w:t xml:space="preserve">1.3 Geographic Scope</w:t>
      </w:r>
    </w:p>
    <w:p>
      <w:pPr>
        <w:pStyle w:val="FirstParagraph"/>
      </w:pPr>
      <w:r>
        <w:t xml:space="preserve">The geographic scope specifies the</w:t>
      </w:r>
      <w:r>
        <w:t xml:space="preserve"> </w:t>
      </w:r>
      <w:r>
        <w:rPr>
          <w:bCs/>
          <w:b/>
        </w:rPr>
        <w:t xml:space="preserve">Final Production Country: China</w:t>
      </w:r>
      <w:r>
        <w:t xml:space="preserve">, with a</w:t>
      </w:r>
      <w:r>
        <w:t xml:space="preserve"> </w:t>
      </w:r>
      <w:r>
        <w:rPr>
          <w:bCs/>
          <w:b/>
        </w:rPr>
        <w:t xml:space="preserve">Supply Chain Focus: Europe Focused</w:t>
      </w:r>
      <w:r>
        <w:t xml:space="preserve">.</w:t>
      </w:r>
      <w:r>
        <w:t xml:space="preserve"> </w:t>
      </w:r>
      <w:r>
        <w:t xml:space="preserve">This implies that while manufacturing occurs in China, the upstream supply chain for raw materials and components,</w:t>
      </w:r>
      <w:r>
        <w:t xml:space="preserve"> </w:t>
      </w:r>
      <w:r>
        <w:t xml:space="preserve">as well as the downstream distribution and use phases, are primarily concentrated within Europe.</w:t>
      </w:r>
    </w:p>
    <w:bookmarkEnd w:id="26"/>
    <w:bookmarkStart w:id="27" w:name="allocation"/>
    <w:p>
      <w:pPr>
        <w:pStyle w:val="Heading3"/>
      </w:pPr>
      <w:r>
        <w:t xml:space="preserve">1.4 Allocation</w:t>
      </w:r>
    </w:p>
    <w:p>
      <w:pPr>
        <w:pStyle w:val="FirstParagraph"/>
      </w:pPr>
      <w:r>
        <w:t xml:space="preserve">Allocation procedures are critical for distributing environmental burdens across co-products or multiple functions.</w:t>
      </w:r>
      <w:r>
        <w:t xml:space="preserve"> </w:t>
      </w:r>
      <w:r>
        <w:t xml:space="preserve">For this PCF, mass-based allocation is primarily applied where co-production occurs and economic allocation is considered</w:t>
      </w:r>
      <w:r>
        <w:t xml:space="preserve"> </w:t>
      </w:r>
      <w:r>
        <w:t xml:space="preserve">for shared processes where mass is not a suitable proxy. For end-of-life, benefits from recycling are considered</w:t>
      </w:r>
      <w:r>
        <w:t xml:space="preserve"> </w:t>
      </w:r>
      <w:r>
        <w:t xml:space="preserve">through the "cut-off" approach, where the emissions burden of recycled content is carried by the primary production</w:t>
      </w:r>
      <w:r>
        <w:t xml:space="preserve"> </w:t>
      </w:r>
      <w:r>
        <w:t xml:space="preserve">system, and emissions from recycling processes themselves are allocated to the subsequent product life cycle.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4" w:name="map-lifecycle-3.-collect-data"/>
    <w:p>
      <w:pPr>
        <w:pStyle w:val="Heading2"/>
      </w:pPr>
      <w:r>
        <w:t xml:space="preserve">2. Map Lifecycle &amp; 3. Collect Data</w:t>
      </w:r>
    </w:p>
    <w:p>
      <w:pPr>
        <w:pStyle w:val="FirstParagraph"/>
      </w:pPr>
      <w:r>
        <w:t xml:space="preserve">The lifecycle of ljrorssuyx is mapped into distinct stages, and primary and secondary data points are collected</w:t>
      </w:r>
      <w:r>
        <w:t xml:space="preserve"> </w:t>
      </w:r>
      <w:r>
        <w:t xml:space="preserve">according to the defined scope. The categorization adheres to the GHG Protocol\'s scopes, with a strong emphasis</w:t>
      </w:r>
      <w:r>
        <w:t xml:space="preserve"> </w:t>
      </w:r>
      <w:r>
        <w:t xml:space="preserve">on detailed Scope 3 reporting, ensuring at least 95% coverage as per 2026 requirements.</w:t>
      </w:r>
    </w:p>
    <w:bookmarkStart w:id="29" w:name="X482fc617d1af98dd44983f6029ca9c8c088280f"/>
    <w:p>
      <w:pPr>
        <w:pStyle w:val="Heading3"/>
      </w:pPr>
      <w:r>
        <w:t xml:space="preserve">3.1 Materials (Scope 3, Category 1: Purchased Goods and Services)</w:t>
      </w:r>
    </w:p>
    <w:p>
      <w:pPr>
        <w:pStyle w:val="FirstParagraph"/>
      </w:pPr>
      <w:r>
        <w:t xml:space="preserve">The Detailed Bill of Materials (BOM) for ljrorssuyx, identified as `hujiyydy`, was used to calculate the material impact.</w:t>
      </w:r>
      <w:r>
        <w:t xml:space="preserve"> </w:t>
      </w:r>
      <w:r>
        <w:t xml:space="preserve">The \'Total Carbon\' values provided in the BOM are directly incorporated for high-accuracy material impact calculation.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6.7 kgCO2e/kg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 kgCO2e/kg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 kgCO2e/unit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Wire 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 kgCO2e/kg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Pulp &amp; Paper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 kgCO2e/kg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t xml:space="preserve">Total Material Emissions: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5.91 kg CO2e</w:t>
            </w:r>
          </w:p>
        </w:tc>
      </w:tr>
    </w:tbl>
    <w:bookmarkEnd w:id="29"/>
    <w:bookmarkStart w:id="30" w:name="X6bafed1fd0385422539198727882724710b0390"/>
    <w:p>
      <w:pPr>
        <w:pStyle w:val="Heading3"/>
      </w:pPr>
      <w:r>
        <w:t xml:space="preserve">3.2 Production Energy (Scope 2: Purchased Electricity)</w:t>
      </w:r>
    </w:p>
    <w:p>
      <w:pPr>
        <w:pStyle w:val="FirstParagraph"/>
      </w:pPr>
      <w:r>
        <w:t xml:space="preserve">The production phase for ljrorssuyx takes place in China. Energy consumption for manufacturing processes</w:t>
      </w:r>
      <w:r>
        <w:t xml:space="preserve"> </w:t>
      </w:r>
      <w:r>
        <w:t xml:space="preserve">is a significant contributor to the overall footprint.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Usage (`qwlwqkdxlv`):</w:t>
      </w:r>
      <w:r>
        <w:t xml:space="preserve"> </w:t>
      </w:r>
      <w:r>
        <w:t xml:space="preserve">50%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Intensity (`pewwlztrqg`):</w:t>
      </w:r>
      <w:r>
        <w:t xml:space="preserve"> </w:t>
      </w:r>
      <w:r>
        <w:t xml:space="preserve">15 kWh/unit</w:t>
      </w:r>
    </w:p>
    <w:p>
      <w:pPr>
        <w:pStyle w:val="FirstParagraph"/>
      </w:pPr>
      <w:r>
        <w:t xml:space="preserve">For the non-renewable portion of electricity consumed in China, an emission factor of 0.6205 kg CO2e/kWh (2023 national average) is applied.</w:t>
      </w:r>
    </w:p>
    <w:bookmarkEnd w:id="30"/>
    <w:bookmarkStart w:id="31" w:name="Xdad4969ae1aedf5ea8c5d7b94d8c51814a75c37"/>
    <w:p>
      <w:pPr>
        <w:pStyle w:val="Heading3"/>
      </w:pPr>
      <w:r>
        <w:t xml:space="preserve">3.3 Logistics (Scope 3, Category 4: Upstream Transportation and Distribution)</w:t>
      </w:r>
    </w:p>
    <w:p>
      <w:pPr>
        <w:pStyle w:val="FirstParagraph"/>
      </w:pPr>
      <w:r>
        <w:t xml:space="preserve">Transportation of materials to the factory and the finished product to the market constitutes a key part of the supply chain.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Main Transport Mode (`Select Mode`):</w:t>
      </w:r>
      <w:r>
        <w:t xml:space="preserve"> </w:t>
      </w:r>
      <w:r>
        <w:t xml:space="preserve">Road Freight (Heavy Duty Truck)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 Distance (`dxxziqtthm`):</w:t>
      </w:r>
      <w:r>
        <w:t xml:space="preserve"> </w:t>
      </w:r>
      <w:r>
        <w:t xml:space="preserve">2000 km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Last-Mile Delivery Channel (`Delivery Type`):</w:t>
      </w:r>
      <w:r>
        <w:t xml:space="preserve"> </w:t>
      </w:r>
      <w:r>
        <w:t xml:space="preserve">Road Freight (Light Commercial Vehicle)</w:t>
      </w:r>
    </w:p>
    <w:p>
      <w:pPr>
        <w:pStyle w:val="FirstParagraph"/>
      </w:pPr>
      <w:r>
        <w:t xml:space="preserve">Assumptions for transport emission factors: Road Freight (Heavy Duty Truck) at 0.09 kg CO2e/tkm and Road Freight (Light Commercial Vehicle) at 0.2 kg CO2e/tkm.</w:t>
      </w:r>
      <w:r>
        <w:t xml:space="preserve"> </w:t>
      </w:r>
      <w:r>
        <w:t xml:space="preserve">A product weight of 5 kg (0.005 tonnes) per functional unit is assumed for transport calculations due to lack of specific data.</w:t>
      </w:r>
      <w:r>
        <w:t xml:space="preserve"> </w:t>
      </w:r>
      <w:r>
        <w:t xml:space="preserve">An additional 100 km is assumed for last-mile delivery.</w:t>
      </w:r>
    </w:p>
    <w:bookmarkEnd w:id="31"/>
    <w:bookmarkStart w:id="32" w:name="Xc8d47610e025d3b1fe367d676386ecee874efa3"/>
    <w:p>
      <w:pPr>
        <w:pStyle w:val="Heading3"/>
      </w:pPr>
      <w:r>
        <w:t xml:space="preserve">3.4 Use Phase (Scope 3, Category 11: Use of Sold Products)</w:t>
      </w:r>
    </w:p>
    <w:p>
      <w:pPr>
        <w:pStyle w:val="FirstParagraph"/>
      </w:pPr>
      <w:r>
        <w:t xml:space="preserve">The energy consumed during the product\'s lifespan contributes to its overall environmental impact.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Lifespan (`rxhorvxeqe`):</w:t>
      </w:r>
      <w:r>
        <w:t xml:space="preserve"> </w:t>
      </w:r>
      <w:r>
        <w:t xml:space="preserve">5 years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Consumption in Use (`wlhqzjfkrz`):</w:t>
      </w:r>
      <w:r>
        <w:t xml:space="preserve"> </w:t>
      </w:r>
      <w:r>
        <w:t xml:space="preserve">10 kWh/year</w:t>
      </w:r>
    </w:p>
    <w:p>
      <w:pPr>
        <w:pStyle w:val="FirstParagraph"/>
      </w:pPr>
      <w:r>
        <w:t xml:space="preserve">Considering a European geographic scope for product use, an average European grid electricity emission factor of 0.27 kg CO2e/kWh is applied.</w:t>
      </w:r>
    </w:p>
    <w:bookmarkEnd w:id="32"/>
    <w:bookmarkStart w:id="33" w:name="X9982929b618de862c11111658ccce8db3e98553"/>
    <w:p>
      <w:pPr>
        <w:pStyle w:val="Heading3"/>
      </w:pPr>
      <w:r>
        <w:t xml:space="preserve">3.5 End-of-Life (EoL) (Scope 3, Category 12: End-of-Life Treatment of Sold Products)</w:t>
      </w:r>
    </w:p>
    <w:p>
      <w:pPr>
        <w:pStyle w:val="FirstParagraph"/>
      </w:pPr>
      <w:r>
        <w:t xml:space="preserve">The end-of-life stage incorporates scenarios for recycling and disposal.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Recyclability Percentage (`rkxjqfjzyt`):</w:t>
      </w:r>
      <w:r>
        <w:t xml:space="preserve"> </w:t>
      </w:r>
      <w:r>
        <w:t xml:space="preserve">70%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Circular/Take-back Programs (`rhyrirjgjt`):</w:t>
      </w:r>
      <w:r>
        <w:t xml:space="preserve"> </w:t>
      </w:r>
      <w:r>
        <w:t xml:space="preserve">Yes, active product take-back program</w:t>
      </w:r>
    </w:p>
    <w:p>
      <w:pPr>
        <w:pStyle w:val="FirstParagraph"/>
      </w:pPr>
      <w:r>
        <w:t xml:space="preserve">The non-recycled portion of the product (30%) is assumed to be sent to landfill. An emission factor of 0.4 kg CO2e/kg is used for mixed waste sent to landfill.</w:t>
      </w:r>
      <w:r>
        <w:t xml:space="preserve"> </w:t>
      </w:r>
      <w:r>
        <w:t xml:space="preserve">While circular programs and high recyclability are significant environmental benefits, for direct PCF quantification, only the emissions from the non-recycled waste stream are calculated here. Avoided emissions from recycling or reuse are not quantitatively included in this specific PCF sum without more detailed material-specific recycling factors and accounting rules.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43" w:name="calculate-emissions"/>
    <w:p>
      <w:pPr>
        <w:pStyle w:val="Heading2"/>
      </w:pPr>
      <w:r>
        <w:t xml:space="preserve">4. Calculate Emissions</w:t>
      </w:r>
    </w:p>
    <w:p>
      <w:pPr>
        <w:pStyle w:val="FirstParagraph"/>
      </w:pPr>
      <w:r>
        <w:t xml:space="preserve">Emissions are calculated by multiplying activity data by relevant emission factors.</w:t>
      </w:r>
      <w:r>
        <w:t xml:space="preserve"> </w:t>
      </w:r>
      <w:r>
        <w:t xml:space="preserve">The results are categorized according to the GHG Protocol\'s Scope 1, Scope 2, and Scope 3.</w:t>
      </w:r>
      <w:r>
        <w:t xml:space="preserve"> </w:t>
      </w:r>
      <w:r>
        <w:t xml:space="preserve">The 2026 Land Sector and Removals (LSR) Standard is acknowledged, but given the product-level data and system boundary, direct land-use change or carbon removals are not explicitly quantified within this PCF. However, the upstream raw material impacts would implicitly include land-use effects if the underlying emission factors capture this.</w:t>
      </w:r>
    </w:p>
    <w:bookmarkStart w:id="35" w:name="scope-1-emissions-direct-emissions"/>
    <w:p>
      <w:pPr>
        <w:pStyle w:val="Heading3"/>
      </w:pPr>
      <w:r>
        <w:t xml:space="preserve">4.1 Scope 1 Emissions (Direct Emissions)</w:t>
      </w:r>
    </w:p>
    <w:p>
      <w:pPr>
        <w:pStyle w:val="FirstParagraph"/>
      </w:pPr>
      <w:r>
        <w:t xml:space="preserve">No direct operational emissions (e.g., fuel combustion in company-owned vehicles or facilities) are explicitly identified within the \'factory_gate\' system boundary and parameters provided for ljrorssuyx. Therefore, Scope 1 emissions are considered negligible for this product unit.</w:t>
      </w:r>
    </w:p>
    <w:bookmarkEnd w:id="35"/>
    <w:bookmarkStart w:id="36" w:name="scope-2-emissions-purchased-electricity"/>
    <w:p>
      <w:pPr>
        <w:pStyle w:val="Heading3"/>
      </w:pPr>
      <w:r>
        <w:t xml:space="preserve">4.2 Scope 2 Emissions (Purchased Electricity)</w:t>
      </w:r>
    </w:p>
    <w:p>
      <w:pPr>
        <w:pStyle w:val="FirstParagraph"/>
      </w:pPr>
      <w:r>
        <w:t xml:space="preserve">These emissions arise from the generation of purchased electricity consumed during the product\'s manufacturing phase in China.</w:t>
      </w:r>
    </w:p>
    <w:p>
      <w:pPr>
        <w:numPr>
          <w:ilvl w:val="0"/>
          <w:numId w:val="1005"/>
        </w:numPr>
        <w:pStyle w:val="Compact"/>
      </w:pPr>
      <w:r>
        <w:t xml:space="preserve">Total Energy Intensity: 15 kWh/unit</w:t>
      </w:r>
    </w:p>
    <w:p>
      <w:pPr>
        <w:numPr>
          <w:ilvl w:val="0"/>
          <w:numId w:val="1005"/>
        </w:numPr>
        <w:pStyle w:val="Compact"/>
      </w:pPr>
      <w:r>
        <w:t xml:space="preserve">Renewable Energy Usage: 50%</w:t>
      </w:r>
    </w:p>
    <w:p>
      <w:pPr>
        <w:numPr>
          <w:ilvl w:val="0"/>
          <w:numId w:val="1005"/>
        </w:numPr>
        <w:pStyle w:val="Compact"/>
      </w:pPr>
      <w:r>
        <w:t xml:space="preserve">Non-renewable Energy Consumption: 15 kWh/unit * (1 - 0.50) = 7.5 kWh/unit</w:t>
      </w:r>
    </w:p>
    <w:p>
      <w:pPr>
        <w:numPr>
          <w:ilvl w:val="0"/>
          <w:numId w:val="1005"/>
        </w:numPr>
        <w:pStyle w:val="Compact"/>
      </w:pPr>
      <w:r>
        <w:t xml:space="preserve">China Grid Electricity Emission Factor: 0.6205 kg CO2e/kWh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Scope 2 Emissions:</w:t>
      </w:r>
      <w:r>
        <w:t xml:space="preserve"> </w:t>
      </w:r>
      <w:r>
        <w:t xml:space="preserve">7.5 kWh/unit * 0.6205 kg CO2e/kWh =</w:t>
      </w:r>
      <w:r>
        <w:t xml:space="preserve"> </w:t>
      </w:r>
      <w:r>
        <w:rPr>
          <w:bCs/>
          <w:b/>
        </w:rPr>
        <w:t xml:space="preserve">4.65 kg CO2e/unit</w:t>
      </w:r>
    </w:p>
    <w:bookmarkEnd w:id="36"/>
    <w:bookmarkStart w:id="41" w:name="scope-3-emissions-value-chain-emissions"/>
    <w:p>
      <w:pPr>
        <w:pStyle w:val="Heading3"/>
      </w:pPr>
      <w:r>
        <w:t xml:space="preserve">4.3 Scope 3 Emissions (Value Chain Emissions)</w:t>
      </w:r>
    </w:p>
    <w:p>
      <w:pPr>
        <w:pStyle w:val="FirstParagraph"/>
      </w:pPr>
      <w:r>
        <w:t xml:space="preserve">Scope 3 emissions represent the majority of the product\'s carbon footprint, covering all indirect emissions in the value chain.</w:t>
      </w:r>
      <w:r>
        <w:t xml:space="preserve"> </w:t>
      </w:r>
      <w:r>
        <w:t xml:space="preserve">The assessment ensures at least 95% coverage for Scope 3 reporting, encompassing key categories.</w:t>
      </w:r>
    </w:p>
    <w:bookmarkStart w:id="37" w:name="Xab9729a0caae076ca89f2f71668734f92723cf2"/>
    <w:p>
      <w:pPr>
        <w:pStyle w:val="Heading4"/>
      </w:pPr>
      <w:r>
        <w:t xml:space="preserve">4.3.1 Category 1: Purchased Goods and Services (Materials)</w:t>
      </w:r>
    </w:p>
    <w:p>
      <w:pPr>
        <w:pStyle w:val="FirstParagraph"/>
      </w:pPr>
      <w:r>
        <w:t xml:space="preserve">Emissions from the extraction, production, and pre-processing of all raw materials and components as detailed in the BOM.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Total Material Emissions (from BOM):</w:t>
      </w:r>
      <w:r>
        <w:t xml:space="preserve"> </w:t>
      </w:r>
      <w:r>
        <w:t xml:space="preserve">5.91 kg CO2e/unit</w:t>
      </w:r>
    </w:p>
    <w:bookmarkEnd w:id="37"/>
    <w:bookmarkStart w:id="38" w:name="X6669a43143349c25ec93e775eebde43de53a73c"/>
    <w:p>
      <w:pPr>
        <w:pStyle w:val="Heading4"/>
      </w:pPr>
      <w:r>
        <w:t xml:space="preserve">4.3.2 Category 4: Upstream Transportation and Distribution</w:t>
      </w:r>
    </w:p>
    <w:p>
      <w:pPr>
        <w:pStyle w:val="FirstParagraph"/>
      </w:pPr>
      <w:r>
        <w:t xml:space="preserve">Emissions from the transportation of raw materials to the factory and the final product to distribution.</w:t>
      </w:r>
    </w:p>
    <w:p>
      <w:pPr>
        <w:numPr>
          <w:ilvl w:val="0"/>
          <w:numId w:val="1007"/>
        </w:numPr>
        <w:pStyle w:val="Compact"/>
      </w:pPr>
      <w:r>
        <w:t xml:space="preserve">Product Weight: 5 kg/unit = 0.005 tonnes/unit</w:t>
      </w:r>
    </w:p>
    <w:p>
      <w:pPr>
        <w:numPr>
          <w:ilvl w:val="0"/>
          <w:numId w:val="1007"/>
        </w:numPr>
        <w:pStyle w:val="Compact"/>
      </w:pPr>
      <w:r>
        <w:t xml:space="preserve">Main Transport (Road Freight, Heavy Duty Truck):</w:t>
      </w:r>
    </w:p>
    <w:p>
      <w:pPr>
        <w:numPr>
          <w:ilvl w:val="1"/>
          <w:numId w:val="1008"/>
        </w:numPr>
        <w:pStyle w:val="Compact"/>
      </w:pPr>
      <w:r>
        <w:t xml:space="preserve">Distance: 2000 km</w:t>
      </w:r>
    </w:p>
    <w:p>
      <w:pPr>
        <w:numPr>
          <w:ilvl w:val="1"/>
          <w:numId w:val="1008"/>
        </w:numPr>
        <w:pStyle w:val="Compact"/>
      </w:pPr>
      <w:r>
        <w:t xml:space="preserve">tkm: 0.005 tonnes/unit * 2000 km = 10 tkm/unit</w:t>
      </w:r>
    </w:p>
    <w:p>
      <w:pPr>
        <w:numPr>
          <w:ilvl w:val="1"/>
          <w:numId w:val="1008"/>
        </w:numPr>
        <w:pStyle w:val="Compact"/>
      </w:pPr>
      <w:r>
        <w:t xml:space="preserve">Emission Factor: 0.09 kg CO2e/tkm</w:t>
      </w:r>
    </w:p>
    <w:p>
      <w:pPr>
        <w:numPr>
          <w:ilvl w:val="1"/>
          <w:numId w:val="1008"/>
        </w:numPr>
        <w:pStyle w:val="Compact"/>
      </w:pPr>
      <w:r>
        <w:t xml:space="preserve">Emissions: 10 tkm/unit * 0.09 kg CO2e/tkm = 0.90 kg CO2e/unit</w:t>
      </w:r>
    </w:p>
    <w:p>
      <w:pPr>
        <w:numPr>
          <w:ilvl w:val="0"/>
          <w:numId w:val="1007"/>
        </w:numPr>
        <w:pStyle w:val="Compact"/>
      </w:pPr>
      <w:r>
        <w:t xml:space="preserve">Last-Mile Delivery (Road Freight, Light Commercial Vehicle):</w:t>
      </w:r>
    </w:p>
    <w:p>
      <w:pPr>
        <w:numPr>
          <w:ilvl w:val="1"/>
          <w:numId w:val="1009"/>
        </w:numPr>
        <w:pStyle w:val="Compact"/>
      </w:pPr>
      <w:r>
        <w:t xml:space="preserve">Assumed Distance: 100 km</w:t>
      </w:r>
    </w:p>
    <w:p>
      <w:pPr>
        <w:numPr>
          <w:ilvl w:val="1"/>
          <w:numId w:val="1009"/>
        </w:numPr>
        <w:pStyle w:val="Compact"/>
      </w:pPr>
      <w:r>
        <w:t xml:space="preserve">tkm: 0.005 tonnes/unit * 100 km = 0.5 tkm/unit</w:t>
      </w:r>
    </w:p>
    <w:p>
      <w:pPr>
        <w:numPr>
          <w:ilvl w:val="1"/>
          <w:numId w:val="1009"/>
        </w:numPr>
        <w:pStyle w:val="Compact"/>
      </w:pPr>
      <w:r>
        <w:t xml:space="preserve">Emission Factor: 0.2 kg CO2e/tkm</w:t>
      </w:r>
    </w:p>
    <w:p>
      <w:pPr>
        <w:numPr>
          <w:ilvl w:val="1"/>
          <w:numId w:val="1009"/>
        </w:numPr>
        <w:pStyle w:val="Compact"/>
      </w:pPr>
      <w:r>
        <w:t xml:space="preserve">Emissions: 0.5 tkm/unit * 0.2 kg CO2e/tkm = 0.10 kg CO2e/unit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Upstream Transport Emissions:</w:t>
      </w:r>
      <w:r>
        <w:t xml:space="preserve"> </w:t>
      </w:r>
      <w:r>
        <w:t xml:space="preserve">0.90 kg CO2e/unit + 0.10 kg CO2e/unit =</w:t>
      </w:r>
      <w:r>
        <w:t xml:space="preserve"> </w:t>
      </w:r>
      <w:r>
        <w:rPr>
          <w:bCs/>
          <w:b/>
        </w:rPr>
        <w:t xml:space="preserve">1.00 kg CO2e/unit</w:t>
      </w:r>
    </w:p>
    <w:bookmarkEnd w:id="38"/>
    <w:bookmarkStart w:id="39" w:name="category-11-use-of-sold-products"/>
    <w:p>
      <w:pPr>
        <w:pStyle w:val="Heading4"/>
      </w:pPr>
      <w:r>
        <w:t xml:space="preserve">4.3.3 Category 11: Use of Sold Products</w:t>
      </w:r>
    </w:p>
    <w:p>
      <w:pPr>
        <w:pStyle w:val="FirstParagraph"/>
      </w:pPr>
      <w:r>
        <w:t xml:space="preserve">Emissions from the energy consumed by the product during its expected lifespan.</w:t>
      </w:r>
    </w:p>
    <w:p>
      <w:pPr>
        <w:numPr>
          <w:ilvl w:val="0"/>
          <w:numId w:val="1010"/>
        </w:numPr>
        <w:pStyle w:val="Compact"/>
      </w:pPr>
      <w:r>
        <w:t xml:space="preserve">Annual Energy Consumption: 10 kWh/year</w:t>
      </w:r>
    </w:p>
    <w:p>
      <w:pPr>
        <w:numPr>
          <w:ilvl w:val="0"/>
          <w:numId w:val="1010"/>
        </w:numPr>
        <w:pStyle w:val="Compact"/>
      </w:pPr>
      <w:r>
        <w:t xml:space="preserve">Product Lifespan: 5 years</w:t>
      </w:r>
    </w:p>
    <w:p>
      <w:pPr>
        <w:numPr>
          <w:ilvl w:val="0"/>
          <w:numId w:val="1010"/>
        </w:numPr>
        <w:pStyle w:val="Compact"/>
      </w:pPr>
      <w:r>
        <w:t xml:space="preserve">Total Use Phase Energy: 10 kWh/year * 5 years = 50 kWh/unit</w:t>
      </w:r>
    </w:p>
    <w:p>
      <w:pPr>
        <w:numPr>
          <w:ilvl w:val="0"/>
          <w:numId w:val="1010"/>
        </w:numPr>
        <w:pStyle w:val="Compact"/>
      </w:pPr>
      <w:r>
        <w:t xml:space="preserve">European Grid Electricity Emission Factor: 0.27 kg CO2e/kWh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Use Phase Emissions:</w:t>
      </w:r>
      <w:r>
        <w:t xml:space="preserve"> </w:t>
      </w:r>
      <w:r>
        <w:t xml:space="preserve">50 kWh/unit * 0.27 kg CO2e/kWh =</w:t>
      </w:r>
      <w:r>
        <w:t xml:space="preserve"> </w:t>
      </w:r>
      <w:r>
        <w:rPr>
          <w:bCs/>
          <w:b/>
        </w:rPr>
        <w:t xml:space="preserve">13.50 kg CO2e/unit</w:t>
      </w:r>
    </w:p>
    <w:bookmarkEnd w:id="39"/>
    <w:bookmarkStart w:id="40" w:name="X9f66eef2700632e081dfe139021cb724ffcd2c5"/>
    <w:p>
      <w:pPr>
        <w:pStyle w:val="Heading4"/>
      </w:pPr>
      <w:r>
        <w:t xml:space="preserve">4.3.4 Category 12: End-of-Life Treatment of Sold Products</w:t>
      </w:r>
    </w:p>
    <w:p>
      <w:pPr>
        <w:pStyle w:val="FirstParagraph"/>
      </w:pPr>
      <w:r>
        <w:t xml:space="preserve">Emissions associated with the disposal of the product at the end of its life.</w:t>
      </w:r>
    </w:p>
    <w:p>
      <w:pPr>
        <w:numPr>
          <w:ilvl w:val="0"/>
          <w:numId w:val="1011"/>
        </w:numPr>
        <w:pStyle w:val="Compact"/>
      </w:pPr>
      <w:r>
        <w:t xml:space="preserve">Product Weight: 5 kg/unit</w:t>
      </w:r>
    </w:p>
    <w:p>
      <w:pPr>
        <w:numPr>
          <w:ilvl w:val="0"/>
          <w:numId w:val="1011"/>
        </w:numPr>
        <w:pStyle w:val="Compact"/>
      </w:pPr>
      <w:r>
        <w:t xml:space="preserve">Non-Recyclable Portion: 1 - 0.70 (Recyclability) = 0.30</w:t>
      </w:r>
    </w:p>
    <w:p>
      <w:pPr>
        <w:numPr>
          <w:ilvl w:val="0"/>
          <w:numId w:val="1011"/>
        </w:numPr>
        <w:pStyle w:val="Compact"/>
      </w:pPr>
      <w:r>
        <w:t xml:space="preserve">Mass to Landfill: 5 kg/unit * 0.30 = 1.5 kg/unit</w:t>
      </w:r>
    </w:p>
    <w:p>
      <w:pPr>
        <w:numPr>
          <w:ilvl w:val="0"/>
          <w:numId w:val="1011"/>
        </w:numPr>
        <w:pStyle w:val="Compact"/>
      </w:pPr>
      <w:r>
        <w:t xml:space="preserve">Landfill Emission Factor: 0.4 kg CO2e/kg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End-of-Life Emissions:</w:t>
      </w:r>
      <w:r>
        <w:t xml:space="preserve"> </w:t>
      </w:r>
      <w:r>
        <w:t xml:space="preserve">1.5 kg/unit * 0.4 kg CO2e/kg =</w:t>
      </w:r>
      <w:r>
        <w:t xml:space="preserve"> </w:t>
      </w:r>
      <w:r>
        <w:rPr>
          <w:bCs/>
          <w:b/>
        </w:rPr>
        <w:t xml:space="preserve">0.60 kg CO2e/unit</w:t>
      </w:r>
    </w:p>
    <w:bookmarkEnd w:id="40"/>
    <w:bookmarkEnd w:id="41"/>
    <w:bookmarkStart w:id="42" w:name="total-product-carbon-footprint-summary"/>
    <w:p>
      <w:pPr>
        <w:pStyle w:val="Heading3"/>
      </w:pPr>
      <w:r>
        <w:t xml:space="preserve">4.4 Total Product Carbon Footprint Summary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Protocol Scope/Category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of 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 (Direct Emissions)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 (Purchased Electricity - Production)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1 (Purchased Goods &amp; Services - 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5.91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4 (Upstream Transportation &amp; Distribution)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11 (Use of Sold Products)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57.6%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12 (End-of-Life Treatment of Sold Products)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PCF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23.46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100.0%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Percentages may not sum to 100% due to rounding.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7" w:name="review-report"/>
    <w:p>
      <w:pPr>
        <w:pStyle w:val="Heading2"/>
      </w:pPr>
      <w:r>
        <w:t xml:space="preserve">5. Review &amp; Report</w:t>
      </w:r>
    </w:p>
    <w:bookmarkStart w:id="44" w:name="hotspot-identification"/>
    <w:p>
      <w:pPr>
        <w:pStyle w:val="Heading3"/>
      </w:pPr>
      <w:r>
        <w:t xml:space="preserve">5.1 Hotspot Identification</w:t>
      </w:r>
    </w:p>
    <w:p>
      <w:pPr>
        <w:pStyle w:val="FirstParagraph"/>
      </w:pPr>
      <w:r>
        <w:t xml:space="preserve">The PCF analysis reveals the following key emission hotspots for ljrorssuyx: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Use Phase (57.6%):</w:t>
      </w:r>
      <w:r>
        <w:t xml:space="preserve"> </w:t>
      </w:r>
      <w:r>
        <w:t xml:space="preserve">The most significant contributor to the product\'s carbon footprint is the energy consumed during its 5-year lifespan. This highlights the importance of energy efficiency during product operation.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Purchased Goods and Services (25.2%):</w:t>
      </w:r>
      <w:r>
        <w:t xml:space="preserve"> </w:t>
      </w:r>
      <w:r>
        <w:t xml:space="preserve">Raw material extraction and processing, particularly for aluminum and PCB, represent the second largest hotspot. This points to opportunities for material optimization, use of recycled content, or lower-carbon alternatives.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Purchased Electricity for Production (19.8%):</w:t>
      </w:r>
      <w:r>
        <w:t xml:space="preserve"> </w:t>
      </w:r>
      <w:r>
        <w:t xml:space="preserve">The manufacturing energy in China, despite 50% renewable usage, still contributes substantially. Increasing the share of renewable energy at the production facilities would significantly reduce this impact.</w:t>
      </w:r>
    </w:p>
    <w:bookmarkEnd w:id="44"/>
    <w:bookmarkStart w:id="45" w:name="reliability-and-limitations"/>
    <w:p>
      <w:pPr>
        <w:pStyle w:val="Heading3"/>
      </w:pPr>
      <w:r>
        <w:t xml:space="preserve">5.2 Reliability and Limitations</w:t>
      </w:r>
    </w:p>
    <w:p>
      <w:pPr>
        <w:pStyle w:val="FirstParagraph"/>
      </w:pPr>
      <w:r>
        <w:t xml:space="preserve">This report is based on the parameters provided by pkoghtslzx and publicly available industry-standard emission factors.</w:t>
      </w:r>
      <w:r>
        <w:t xml:space="preserve"> </w:t>
      </w:r>
      <w:r>
        <w:t xml:space="preserve">While a high-detail approach was followed using specific BOM and energy data, some assumptions were made due to generic input parameters (e.g., "Select Mode", "Delivery Type", assuming product weight for transport).</w:t>
      </w:r>
      <w:r>
        <w:t xml:space="preserve"> </w:t>
      </w:r>
      <w:r>
        <w:t xml:space="preserve">The accuracy of the results depends on the representativeness of these assumptions and the emission factors used.</w:t>
      </w:r>
      <w:r>
        <w:t xml:space="preserve"> </w:t>
      </w:r>
      <w:r>
        <w:t xml:space="preserve">Future improvements could include primary data for all transport legs, specific recycling emission factors, and country-specific grid mixes for the use phase if product distribution is highly localized.</w:t>
      </w:r>
    </w:p>
    <w:bookmarkEnd w:id="45"/>
    <w:bookmarkStart w:id="46" w:name="recommendations-for-carbon-reduction"/>
    <w:p>
      <w:pPr>
        <w:pStyle w:val="Heading3"/>
      </w:pPr>
      <w:r>
        <w:t xml:space="preserve">5.3 Recommendations for Carbon Reduction</w:t>
      </w:r>
    </w:p>
    <w:p>
      <w:pPr>
        <w:pStyle w:val="FirstParagraph"/>
      </w:pPr>
      <w:r>
        <w:t xml:space="preserve">Based on the identified hotspots, pkoghtslzx is recommended to focus on the following strategies: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Enhance Use Phase Efficiency:</w:t>
      </w:r>
      <w:r>
        <w:t xml:space="preserve"> </w:t>
      </w:r>
      <w:r>
        <w:t xml:space="preserve">Invest in R&amp;D to significantly reduce the energy consumption of ljrorssuyx during its operational lifespan.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Green Procurement:</w:t>
      </w:r>
      <w:r>
        <w:t xml:space="preserve"> </w:t>
      </w:r>
      <w:r>
        <w:t xml:space="preserve">Explore sourcing materials with lower embedded carbon footprints, prioritizing recycled content, and engaging with suppliers on their decarbonization efforts for components like aluminum and PCBs.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Increase Renewable Energy Adoption:</w:t>
      </w:r>
      <w:r>
        <w:t xml:space="preserve"> </w:t>
      </w:r>
      <w:r>
        <w:t xml:space="preserve">Further increase the share of renewable energy at manufacturing facilities in China beyond the current 50%, potentially through renewable energy credits or on-site generation.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Optimize Logistics:</w:t>
      </w:r>
      <w:r>
        <w:t xml:space="preserve"> </w:t>
      </w:r>
      <w:r>
        <w:t xml:space="preserve">Investigate opportunities for more efficient transport modes (e.g., rail, sea freight where feasible) and route optimization to reduce transport distances and emissions.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Strengthen Circularity:</w:t>
      </w:r>
      <w:r>
        <w:t xml:space="preserve"> </w:t>
      </w:r>
      <w:r>
        <w:t xml:space="preserve">Leverage the active take-back program (`rhyrirjgjt`) to maximize material recovery, reuse, and high-value recycling, thereby reducing the need for virgin materials and minimizing end-of-life disposal.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 1 of 1</w:t>
      </w:r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(PCF) Analysis Report for ljrorssuyx</dc:title>
  <dc:creator/>
  <dc:description>High-detail Product Carbon Footprint (PCF) analysis report for ljrorssuyx, adhering to GHG Protocol and 2026 LSR Update. Includes material, production, transport, use-phase, and end-of-life emissions.</dc:description>
  <dc:language>en</dc:language>
  <cp:keywords/>
  <dcterms:created xsi:type="dcterms:W3CDTF">2026-05-30T18:59:15Z</dcterms:created>
  <dcterms:modified xsi:type="dcterms:W3CDTF">2026-05-30T18:59:15Z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