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ldxrjjywms</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ldxrjjywms</w:t>
      </w:r>
    </w:p>
    <w:p>
      <w:pPr>
        <w:pStyle w:val="BodyText"/>
      </w:pPr>
      <w:r>
        <w:rPr>
          <w:bCs/>
          <w:b/>
        </w:rPr>
        <w:t xml:space="preserve">Company Name:</w:t>
      </w:r>
      <w:r>
        <w:t xml:space="preserve"> </w:t>
      </w:r>
      <w:r>
        <w:t xml:space="preserve">lwfiriuxrv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uzkojnlpjg</w:t>
      </w:r>
    </w:p>
    <w:p>
      <w:pPr>
        <w:pStyle w:val="BodyText"/>
      </w:pPr>
      <w:r>
        <w:t xml:space="preserve">This report is generated based on available data and industry standards. Illustrative data has been used for placeholders where specific values were not provided, as detailed within the report.</w:t>
      </w:r>
    </w:p>
    <w:bookmarkEnd w:id="20"/>
    <w:bookmarkStart w:id="51"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provides a high-detail Product Carbon Footprint (PCF) analysis for</w:t>
      </w:r>
      <w:r>
        <w:t xml:space="preserve"> </w:t>
      </w:r>
      <w:r>
        <w:t xml:space="preserve">ldxrjjywms</w:t>
      </w:r>
      <w:r>
        <w:t xml:space="preserve">, manufactured by</w:t>
      </w:r>
      <w:r>
        <w:t xml:space="preserve"> </w:t>
      </w:r>
      <w:r>
        <w:t xml:space="preserve">lwfiriuxrv</w:t>
      </w:r>
      <w:r>
        <w:t xml:space="preserve">, in accordance with the</w:t>
      </w:r>
      <w:r>
        <w:t xml:space="preserve"> </w:t>
      </w:r>
      <w:r>
        <w:t xml:space="preserve">GHG Protocol</w:t>
      </w:r>
      <w:r>
        <w:t xml:space="preserve">. As Senior Sustainability Consultant, uzkojnlpjg has conducted this assessment to quantify greenhouse gas (GHG) emissions across the product\'s lifecycle, identifying key emission hotspots and adhering to the latest 2026 Land Sector and Removals (LSR) Standard updates and stringent Scope 3 reporting requirements. The analysis reveals that the majority of emissions typically arise from the materials and use phases, highlighting areas for strategic intervention to enhance sustainability.</w:t>
      </w:r>
    </w:p>
    <w:p>
      <w:r>
        <w:pict>
          <v:rect style="width:0;height:1.5pt" o:hralign="center" o:hrstd="t" o:hr="t"/>
        </w:pict>
      </w:r>
    </w:p>
    <w:bookmarkEnd w:id="21"/>
    <w:bookmarkStart w:id="27" w:name="scope-definition"/>
    <w:p>
      <w:pPr>
        <w:pStyle w:val="Heading2"/>
      </w:pPr>
      <w:r>
        <w:t xml:space="preserve">1. Scope Definition</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t xml:space="preserve">1.0 unit of ldxrjjywms</w:t>
      </w:r>
      <w:r>
        <w:t xml:space="preserve">, providing its intended function over its lifespan.</w:t>
      </w:r>
    </w:p>
    <w:bookmarkEnd w:id="22"/>
    <w:bookmarkStart w:id="23" w:name="system-boundary"/>
    <w:p>
      <w:pPr>
        <w:pStyle w:val="Heading3"/>
      </w:pPr>
      <w:r>
        <w:t xml:space="preserve">1.2 System Boundary</w:t>
      </w:r>
    </w:p>
    <w:p>
      <w:pPr>
        <w:pStyle w:val="FirstParagraph"/>
      </w:pPr>
      <w:r>
        <w:t xml:space="preserve">The system boundary for this assessment is</w:t>
      </w:r>
      <w:r>
        <w:t xml:space="preserve"> </w:t>
      </w:r>
      <w:r>
        <w:t xml:space="preserve">"factory_gate"</w:t>
      </w:r>
      <w:r>
        <w:t xml:space="preserve">. This \'Cradle-to-Gate\' approach includes all emissions associated with raw material extraction, processing, component manufacturing, and the assembly of the product up to the point it leaves the final production facility. However, to provide a holistic view and meet the comprehensive Scope 3 requirements, additional downstream stages, including transportation to the customer, the product\'s use phase, and its end-of-life, are also analyzed and included in Scope 3 reporting.</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(implying significant transport from China to Europe and subsequent distribution within Europe)</w:t>
      </w:r>
    </w:p>
    <w:bookmarkEnd w:id="24"/>
    <w:bookmarkStart w:id="25" w:name="allocation"/>
    <w:p>
      <w:pPr>
        <w:pStyle w:val="Heading3"/>
      </w:pPr>
      <w:r>
        <w:t xml:space="preserve">1.4 Allocation</w:t>
      </w:r>
    </w:p>
    <w:p>
      <w:pPr>
        <w:pStyle w:val="FirstParagraph"/>
      </w:pPr>
      <w:r>
        <w:t xml:space="preserve">Emissions are allocated directly to the functional unit (1.0 unit of ldxrjjywms). Where shared processes exist (e.g., factory infrastructure), emissions are allocated based on relevant physical or economic relationships to the product.</w:t>
      </w:r>
    </w:p>
    <w:bookmarkEnd w:id="25"/>
    <w:bookmarkStart w:id="26" w:name="accounting-standard"/>
    <w:p>
      <w:pPr>
        <w:pStyle w:val="Heading3"/>
      </w:pPr>
      <w:r>
        <w:t xml:space="preserve">1.5 Accounting Standard</w:t>
      </w:r>
    </w:p>
    <w:p>
      <w:pPr>
        <w:pStyle w:val="FirstParagraph"/>
      </w:pPr>
      <w:r>
        <w:t xml:space="preserve">This Product Carbon Footprint analysis is conducted following the principles and requirements of the</w:t>
      </w:r>
      <w:r>
        <w:t xml:space="preserve"> </w:t>
      </w:r>
      <w:r>
        <w:t xml:space="preserve">GHG Protocol</w:t>
      </w:r>
      <w:r>
        <w:t xml:space="preserve">. Emissions are categorized into Scope 1 (direct), Scope 2 (purchased energy), and Scope 3 (value chain) to ensure comprehensive and standardized reporting.</w:t>
      </w:r>
    </w:p>
    <w:p>
      <w:r>
        <w:pict>
          <v:rect style="width:0;height:1.5pt" o:hralign="center" o:hrstd="t" o:hr="t"/>
        </w:pict>
      </w:r>
    </w:p>
    <w:bookmarkEnd w:id="26"/>
    <w:bookmarkEnd w:id="27"/>
    <w:bookmarkStart w:id="33" w:name="X35745a8e252718d5a0d40cb3fbfce10aee0336d"/>
    <w:p>
      <w:pPr>
        <w:pStyle w:val="Heading2"/>
      </w:pPr>
      <w:r>
        <w:t xml:space="preserve">2. &amp; 3. Lifecycle Mapping (LCI Inventory Stages) &amp; Data Collection</w:t>
      </w:r>
    </w:p>
    <w:p>
      <w:pPr>
        <w:pStyle w:val="FirstParagraph"/>
      </w:pPr>
      <w:r>
        <w:t xml:space="preserve">This section details the lifecycle stages considered and the primary and secondary data points collected for the PCF calculation. Illustrative data has been used for the placeholder parameters to demonstrate the methodology.</w:t>
      </w:r>
    </w:p>
    <w:bookmarkStart w:id="28" w:name="Xcd2876051cd536bce3a362a49ac5d6aa02a01bc"/>
    <w:p>
      <w:pPr>
        <w:pStyle w:val="Heading3"/>
      </w:pPr>
      <w:r>
        <w:t xml:space="preserve">2.1 Materials Acquisition and Pre-processing (Upstream - Scope 3)</w:t>
      </w:r>
    </w:p>
    <w:p>
      <w:pPr>
        <w:pStyle w:val="FirstParagraph"/>
      </w:pPr>
      <w:r>
        <w:t xml:space="preserve">The detailed Bill of Materials (BOM),</w:t>
      </w:r>
      <w:r>
        <w:t xml:space="preserve"> </w:t>
      </w:r>
      <w:r>
        <w:t xml:space="preserve">fjpygxom</w:t>
      </w:r>
      <w:r>
        <w:t xml:space="preserve">, serves as the primary data source for material inputs. The emissions associated with the extraction, processing, and manufacturing of these materials are critical components of the product\'s upstream footprint.</w:t>
      </w:r>
    </w:p>
    <w:p>
      <w:pPr>
        <w:pStyle w:val="BodyText"/>
      </w:pPr>
      <w:r>
        <w:rPr>
          <w:bCs/>
          <w:b/>
        </w:rPr>
        <w:t xml:space="preserve">Illustrative Detailed Bill of Materials (BOM) for ldxrjjywms: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w:t>
            </w:r>
          </w:p>
        </w:tc>
      </w:tr>
      <w:tr>
        <w:tc>
          <w:tcPr/>
          <w:p>
            <w:pPr>
              <w:pStyle w:val="Compact"/>
              <w:jc w:val="left"/>
            </w:pPr>
            <w:r>
              <w:t xml:space="preserve">P002</w:t>
            </w:r>
          </w:p>
        </w:tc>
        <w:tc>
          <w:tcPr/>
          <w:p>
            <w:pPr>
              <w:pStyle w:val="Compact"/>
              <w:jc w:val="left"/>
            </w:pPr>
            <w:r>
              <w:t xml:space="preserve">ABS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E003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2.5</w:t>
            </w:r>
          </w:p>
        </w:tc>
      </w:tr>
      <w:tr>
        <w:tc>
          <w:tcPr/>
          <w:p>
            <w:pPr>
              <w:pStyle w:val="Compact"/>
              <w:jc w:val="left"/>
            </w:pPr>
            <w:r>
              <w:t xml:space="preserve">B004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w:t>
            </w:r>
          </w:p>
        </w:tc>
        <w:tc>
          <w:tcPr/>
          <w:p>
            <w:pPr>
              <w:pStyle w:val="Compact"/>
              <w:jc w:val="left"/>
            </w:pPr>
            <w:r>
              <w:t xml:space="preserve">2.0</w:t>
            </w:r>
          </w:p>
        </w:tc>
      </w:tr>
    </w:tbl>
    <w:p>
      <w:pPr>
        <w:pStyle w:val="BodyText"/>
      </w:pPr>
      <w:r>
        <w:rPr>
          <w:iCs/>
          <w:i/>
        </w:rPr>
        <w:t xml:space="preserve">Note: The "Emission Factor" and "Total Carbon" values for BOM items are illustrative and used directly as per the instruction for `fjpygxom`.</w:t>
      </w:r>
    </w:p>
    <w:bookmarkEnd w:id="28"/>
    <w:bookmarkStart w:id="29" w:name="X7a513db51ca827d918d447e56be627e5478fc53"/>
    <w:p>
      <w:pPr>
        <w:pStyle w:val="Heading3"/>
      </w:pPr>
      <w:r>
        <w:t xml:space="preserve">2.2 Production Phase (Assembly &amp; Manufacturing - Scope 1 &amp; 2)</w:t>
      </w:r>
    </w:p>
    <w:p>
      <w:pPr>
        <w:pStyle w:val="FirstParagraph"/>
      </w:pPr>
      <w:r>
        <w:t xml:space="preserve">This phase covers the energy consumed during the manufacturing and assembly of</w:t>
      </w:r>
      <w:r>
        <w:t xml:space="preserve"> </w:t>
      </w:r>
      <w:r>
        <w:t xml:space="preserve">ldxrjjywms</w:t>
      </w:r>
      <w:r>
        <w:t xml:space="preserve"> </w:t>
      </w:r>
      <w:r>
        <w:t xml:space="preserve">in China.</w:t>
      </w:r>
    </w:p>
    <w:p>
      <w:pPr>
        <w:numPr>
          <w:ilvl w:val="0"/>
          <w:numId w:val="1002"/>
        </w:numPr>
        <w:pStyle w:val="Compact"/>
      </w:pPr>
      <w:r>
        <w:rPr>
          <w:bCs/>
          <w:b/>
        </w:rPr>
        <w:t xml:space="preserve">Energy Intensity (kWh/unit):</w:t>
      </w:r>
      <w:r>
        <w:t xml:space="preserve"> </w:t>
      </w:r>
      <w:r>
        <w:t xml:space="preserve">dkrhzxhqqo</w:t>
      </w:r>
      <w:r>
        <w:t xml:space="preserve"> </w:t>
      </w:r>
      <w:r>
        <w:t xml:space="preserve">(Illustrative: 5.0 kWh/unit)</w:t>
      </w:r>
    </w:p>
    <w:p>
      <w:pPr>
        <w:numPr>
          <w:ilvl w:val="0"/>
          <w:numId w:val="1002"/>
        </w:numPr>
        <w:pStyle w:val="Compact"/>
      </w:pPr>
      <w:r>
        <w:rPr>
          <w:bCs/>
          <w:b/>
        </w:rPr>
        <w:t xml:space="preserve">Renewable Energy Usage:</w:t>
      </w:r>
      <w:r>
        <w:t xml:space="preserve"> </w:t>
      </w:r>
      <w:r>
        <w:t xml:space="preserve">knugoyeqwt</w:t>
      </w:r>
      <w:r>
        <w:t xml:space="preserve"> </w:t>
      </w:r>
      <w:r>
        <w:t xml:space="preserve">(Illustrative: 70%)</w:t>
      </w:r>
    </w:p>
    <w:p>
      <w:pPr>
        <w:numPr>
          <w:ilvl w:val="0"/>
          <w:numId w:val="1002"/>
        </w:numPr>
        <w:pStyle w:val="Compact"/>
      </w:pPr>
      <w:r>
        <w:rPr>
          <w:bCs/>
          <w:b/>
        </w:rPr>
        <w:t xml:space="preserve">Country of Production:</w:t>
      </w:r>
      <w:r>
        <w:t xml:space="preserve"> </w:t>
      </w:r>
      <w:r>
        <w:t xml:space="preserve">China</w:t>
      </w:r>
    </w:p>
    <w:bookmarkEnd w:id="29"/>
    <w:bookmarkStart w:id="30" w:name="X1465d3a87cbc412930a06f85b3297753391a2e8"/>
    <w:p>
      <w:pPr>
        <w:pStyle w:val="Heading3"/>
      </w:pPr>
      <w:r>
        <w:t xml:space="preserve">2.3 Transport and Distribution (Upstream &amp; Downstream - Scope 3)</w:t>
      </w:r>
    </w:p>
    <w:p>
      <w:pPr>
        <w:pStyle w:val="FirstParagraph"/>
      </w:pPr>
      <w:r>
        <w:t xml:space="preserve">Logistics data for both inbound materials (already captured in BOM\'s upstream emissions for simplicity) and outbound finished products are considered.</w:t>
      </w:r>
    </w:p>
    <w:p>
      <w:pPr>
        <w:numPr>
          <w:ilvl w:val="0"/>
          <w:numId w:val="1003"/>
        </w:numPr>
        <w:pStyle w:val="Compact"/>
      </w:pPr>
      <w:r>
        <w:rPr>
          <w:bCs/>
          <w:b/>
        </w:rPr>
        <w:t xml:space="preserve">Transport Mode (Intercontinental):</w:t>
      </w:r>
      <w:r>
        <w:t xml:space="preserve"> </w:t>
      </w:r>
      <w:r>
        <w:t xml:space="preserve">Select Mode</w:t>
      </w:r>
      <w:r>
        <w:t xml:space="preserve"> </w:t>
      </w:r>
      <w:r>
        <w:t xml:space="preserve">(Illustrative: Ocean Freight - Container Ship)</w:t>
      </w:r>
    </w:p>
    <w:p>
      <w:pPr>
        <w:numPr>
          <w:ilvl w:val="0"/>
          <w:numId w:val="1003"/>
        </w:numPr>
        <w:pStyle w:val="Compact"/>
      </w:pPr>
      <w:r>
        <w:rPr>
          <w:bCs/>
          <w:b/>
        </w:rPr>
        <w:t xml:space="preserve">Transport Distance (Intercontinental):</w:t>
      </w:r>
      <w:r>
        <w:t xml:space="preserve"> </w:t>
      </w:r>
      <w:r>
        <w:t xml:space="preserve">ftpurvnnjg</w:t>
      </w:r>
      <w:r>
        <w:t xml:space="preserve"> </w:t>
      </w:r>
      <w:r>
        <w:t xml:space="preserve">(Illustrative: 15,000 km)</w:t>
      </w:r>
    </w:p>
    <w:p>
      <w:pPr>
        <w:numPr>
          <w:ilvl w:val="0"/>
          <w:numId w:val="1003"/>
        </w:numPr>
        <w:pStyle w:val="Compact"/>
      </w:pPr>
      <w:r>
        <w:rPr>
          <w:bCs/>
          <w:b/>
        </w:rPr>
        <w:t xml:space="preserve">Transport Mode (European Distribution):</w:t>
      </w:r>
      <w:r>
        <w:t xml:space="preserve"> </w:t>
      </w:r>
      <w:r>
        <w:t xml:space="preserve">Select Mode</w:t>
      </w:r>
      <w:r>
        <w:t xml:space="preserve"> </w:t>
      </w:r>
      <w:r>
        <w:t xml:space="preserve">(Illustrative: Heavy-Duty Road Freight)</w:t>
      </w:r>
    </w:p>
    <w:p>
      <w:pPr>
        <w:numPr>
          <w:ilvl w:val="0"/>
          <w:numId w:val="1003"/>
        </w:numPr>
        <w:pStyle w:val="Compact"/>
      </w:pPr>
      <w:r>
        <w:rPr>
          <w:bCs/>
          <w:b/>
        </w:rPr>
        <w:t xml:space="preserve">Transport Distance (European Distribution):</w:t>
      </w:r>
      <w:r>
        <w:t xml:space="preserve"> </w:t>
      </w:r>
      <w:r>
        <w:t xml:space="preserve">ftpurvnnjg</w:t>
      </w:r>
      <w:r>
        <w:t xml:space="preserve"> </w:t>
      </w:r>
      <w:r>
        <w:t xml:space="preserve">(Illustrative: 1,200 km)</w:t>
      </w:r>
    </w:p>
    <w:p>
      <w:pPr>
        <w:numPr>
          <w:ilvl w:val="0"/>
          <w:numId w:val="1003"/>
        </w:numPr>
        <w:pStyle w:val="Compact"/>
      </w:pPr>
      <w:r>
        <w:rPr>
          <w:bCs/>
          <w:b/>
        </w:rPr>
        <w:t xml:space="preserve">Last-Mile Delivery Channel:</w:t>
      </w:r>
      <w:r>
        <w:t xml:space="preserve"> </w:t>
      </w:r>
      <w:r>
        <w:t xml:space="preserve">Delivery Type</w:t>
      </w:r>
      <w:r>
        <w:t xml:space="preserve"> </w:t>
      </w:r>
      <w:r>
        <w:t xml:space="preserve">(Illustrative: Light Commercial Vehicle (LCV) Road Freight)</w:t>
      </w:r>
    </w:p>
    <w:p>
      <w:pPr>
        <w:numPr>
          <w:ilvl w:val="0"/>
          <w:numId w:val="1003"/>
        </w:numPr>
        <w:pStyle w:val="Compact"/>
      </w:pPr>
      <w:r>
        <w:rPr>
          <w:bCs/>
          <w:b/>
        </w:rPr>
        <w:t xml:space="preserve">Last-Mile Delivery Distance:</w:t>
      </w:r>
      <w:r>
        <w:t xml:space="preserve"> </w:t>
      </w:r>
      <w:r>
        <w:t xml:space="preserve">(Illustrative: 150 km)</w:t>
      </w:r>
    </w:p>
    <w:bookmarkEnd w:id="30"/>
    <w:bookmarkStart w:id="31" w:name="use-phase-downstream---scope-3"/>
    <w:p>
      <w:pPr>
        <w:pStyle w:val="Heading3"/>
      </w:pPr>
      <w:r>
        <w:t xml:space="preserve">2.4 Use Phase (Downstream - Scope 3)</w:t>
      </w:r>
    </w:p>
    <w:p>
      <w:pPr>
        <w:pStyle w:val="FirstParagraph"/>
      </w:pPr>
      <w:r>
        <w:t xml:space="preserve">This phase accounts for the energy consumed by the product during its operational lifetime.</w:t>
      </w:r>
    </w:p>
    <w:p>
      <w:pPr>
        <w:numPr>
          <w:ilvl w:val="0"/>
          <w:numId w:val="1004"/>
        </w:numPr>
        <w:pStyle w:val="Compact"/>
      </w:pPr>
      <w:r>
        <w:rPr>
          <w:bCs/>
          <w:b/>
        </w:rPr>
        <w:t xml:space="preserve">Product Lifespan:</w:t>
      </w:r>
      <w:r>
        <w:t xml:space="preserve"> </w:t>
      </w:r>
      <w:r>
        <w:t xml:space="preserve">gohjmsmxep</w:t>
      </w:r>
      <w:r>
        <w:t xml:space="preserve"> </w:t>
      </w:r>
      <w:r>
        <w:t xml:space="preserve">(Illustrative: 5 years)</w:t>
      </w:r>
    </w:p>
    <w:p>
      <w:pPr>
        <w:numPr>
          <w:ilvl w:val="0"/>
          <w:numId w:val="1004"/>
        </w:numPr>
        <w:pStyle w:val="Compact"/>
      </w:pPr>
      <w:r>
        <w:rPr>
          <w:bCs/>
          <w:b/>
        </w:rPr>
        <w:t xml:space="preserve">Energy Consumption in Use:</w:t>
      </w:r>
      <w:r>
        <w:t xml:space="preserve"> </w:t>
      </w:r>
      <w:r>
        <w:t xml:space="preserve">kwfdpliogz</w:t>
      </w:r>
      <w:r>
        <w:t xml:space="preserve"> </w:t>
      </w:r>
      <w:r>
        <w:t xml:space="preserve">(Illustrative: 10 kWh/year)</w:t>
      </w:r>
    </w:p>
    <w:bookmarkEnd w:id="31"/>
    <w:bookmarkStart w:id="32" w:name="end-of-life-downstream---scope-3"/>
    <w:p>
      <w:pPr>
        <w:pStyle w:val="Heading3"/>
      </w:pPr>
      <w:r>
        <w:t xml:space="preserve">2.5 End-of-Life (Downstream - Scope 3)</w:t>
      </w:r>
    </w:p>
    <w:p>
      <w:pPr>
        <w:pStyle w:val="FirstParagraph"/>
      </w:pPr>
      <w:r>
        <w:t xml:space="preserve">The end-of-life scenario considers the disposal, recycling, and recovery of the product\'s components.</w:t>
      </w:r>
    </w:p>
    <w:p>
      <w:pPr>
        <w:numPr>
          <w:ilvl w:val="0"/>
          <w:numId w:val="1005"/>
        </w:numPr>
        <w:pStyle w:val="Compact"/>
      </w:pPr>
      <w:r>
        <w:rPr>
          <w:bCs/>
          <w:b/>
        </w:rPr>
        <w:t xml:space="preserve">Recyclability Percentage:</w:t>
      </w:r>
      <w:r>
        <w:t xml:space="preserve"> </w:t>
      </w:r>
      <w:r>
        <w:t xml:space="preserve">mjwdsrrdui</w:t>
      </w:r>
      <w:r>
        <w:t xml:space="preserve"> </w:t>
      </w:r>
      <w:r>
        <w:t xml:space="preserve">(Illustrative: 60%)</w:t>
      </w:r>
    </w:p>
    <w:p>
      <w:pPr>
        <w:numPr>
          <w:ilvl w:val="0"/>
          <w:numId w:val="1005"/>
        </w:numPr>
        <w:pStyle w:val="Compact"/>
      </w:pPr>
      <w:r>
        <w:rPr>
          <w:bCs/>
          <w:b/>
        </w:rPr>
        <w:t xml:space="preserve">Circular/Take-back Programs:</w:t>
      </w:r>
      <w:r>
        <w:t xml:space="preserve"> </w:t>
      </w:r>
      <w:r>
        <w:t xml:space="preserve">pkegsojewj</w:t>
      </w:r>
      <w:r>
        <w:t xml:space="preserve"> </w:t>
      </w:r>
      <w:r>
        <w:t xml:space="preserve">(Illustrative: Yes - Comprehensive take-back and recycling program)</w:t>
      </w:r>
    </w:p>
    <w:p>
      <w:r>
        <w:pict>
          <v:rect style="width:0;height:1.5pt" o:hralign="center" o:hrstd="t" o:hr="t"/>
        </w:pict>
      </w:r>
    </w:p>
    <w:bookmarkEnd w:id="32"/>
    <w:bookmarkEnd w:id="33"/>
    <w:bookmarkStart w:id="46" w:name="emission-calculation"/>
    <w:p>
      <w:pPr>
        <w:pStyle w:val="Heading2"/>
      </w:pPr>
      <w:r>
        <w:t xml:space="preserve">4. Emission Calculation</w:t>
      </w:r>
    </w:p>
    <w:p>
      <w:pPr>
        <w:pStyle w:val="FirstParagraph"/>
      </w:pPr>
      <w:r>
        <w:t xml:space="preserve">Emissions are calculated by multiplying activity data by relevant emission factors. Industry-standard emission factors from reputable sources such as Ecoinvent and DEFRA are utilized where specific data is not provided.</w:t>
      </w:r>
    </w:p>
    <w:bookmarkStart w:id="34" w:name="illustrative-emission-factors-used"/>
    <w:p>
      <w:pPr>
        <w:pStyle w:val="Heading3"/>
      </w:pPr>
      <w:r>
        <w:t xml:space="preserve">4.1 Illustrative Emission Factors Used:</w:t>
      </w:r>
    </w:p>
    <w:p>
      <w:pPr>
        <w:numPr>
          <w:ilvl w:val="0"/>
          <w:numId w:val="1006"/>
        </w:numPr>
        <w:pStyle w:val="Compact"/>
      </w:pPr>
      <w:r>
        <w:rPr>
          <w:bCs/>
          <w:b/>
        </w:rPr>
        <w:t xml:space="preserve">Electricity Grid (China):</w:t>
      </w:r>
      <w:r>
        <w:t xml:space="preserve"> </w:t>
      </w:r>
      <w:r>
        <w:t xml:space="preserve">0.7 kg CO2e/kWh (Illustrative, based on Ecoinvent/IPCC data for China)</w:t>
      </w:r>
    </w:p>
    <w:p>
      <w:pPr>
        <w:numPr>
          <w:ilvl w:val="0"/>
          <w:numId w:val="1006"/>
        </w:numPr>
        <w:pStyle w:val="Compact"/>
      </w:pPr>
      <w:r>
        <w:rPr>
          <w:bCs/>
          <w:b/>
        </w:rPr>
        <w:t xml:space="preserve">Ocean Freight (Container Ship):</w:t>
      </w:r>
      <w:r>
        <w:t xml:space="preserve"> </w:t>
      </w:r>
      <w:r>
        <w:t xml:space="preserve">0.01 kg CO2e/tonne-km (Illustrative, typical for intercontinental ocean freight)</w:t>
      </w:r>
    </w:p>
    <w:p>
      <w:pPr>
        <w:numPr>
          <w:ilvl w:val="0"/>
          <w:numId w:val="1006"/>
        </w:numPr>
        <w:pStyle w:val="Compact"/>
      </w:pPr>
      <w:r>
        <w:rPr>
          <w:bCs/>
          <w:b/>
        </w:rPr>
        <w:t xml:space="preserve">Heavy-Duty Road Freight (Europe):</w:t>
      </w:r>
      <w:r>
        <w:t xml:space="preserve"> </w:t>
      </w:r>
      <w:r>
        <w:t xml:space="preserve">0.09 kg CO2e/tonne-km (Illustrative, typical for European road freight)</w:t>
      </w:r>
    </w:p>
    <w:p>
      <w:pPr>
        <w:numPr>
          <w:ilvl w:val="0"/>
          <w:numId w:val="1006"/>
        </w:numPr>
        <w:pStyle w:val="Compact"/>
      </w:pPr>
      <w:r>
        <w:rPr>
          <w:bCs/>
          <w:b/>
        </w:rPr>
        <w:t xml:space="preserve">Light Commercial Vehicle (LCV) Road Freight:</w:t>
      </w:r>
      <w:r>
        <w:t xml:space="preserve"> </w:t>
      </w:r>
      <w:r>
        <w:t xml:space="preserve">0.2 kg CO2e/tonne-km (Illustrative, for last-mile delivery)</w:t>
      </w:r>
    </w:p>
    <w:p>
      <w:pPr>
        <w:numPr>
          <w:ilvl w:val="0"/>
          <w:numId w:val="1006"/>
        </w:numPr>
        <w:pStyle w:val="Compact"/>
      </w:pPr>
      <w:r>
        <w:rPr>
          <w:bCs/>
          <w:b/>
        </w:rPr>
        <w:t xml:space="preserve">Waste to Landfill (Mixed Waste):</w:t>
      </w:r>
      <w:r>
        <w:t xml:space="preserve"> </w:t>
      </w:r>
      <w:r>
        <w:t xml:space="preserve">~0.5 kg CO2e/kg (Illustrative, general factor for non-recycled waste)</w:t>
      </w:r>
    </w:p>
    <w:bookmarkEnd w:id="34"/>
    <w:bookmarkStart w:id="42" w:name="ghg-protocol-scopes-breakdown"/>
    <w:p>
      <w:pPr>
        <w:pStyle w:val="Heading3"/>
      </w:pPr>
      <w:r>
        <w:t xml:space="preserve">4.2 GHG Protocol Scopes Breakdown:</w:t>
      </w:r>
    </w:p>
    <w:bookmarkStart w:id="35" w:name="scope-1-emissions-direct-emissions"/>
    <w:p>
      <w:pPr>
        <w:pStyle w:val="Heading4"/>
      </w:pPr>
      <w:r>
        <w:t xml:space="preserve">Scope 1 Emissions (Direct Emissions)</w:t>
      </w:r>
    </w:p>
    <w:p>
      <w:pPr>
        <w:pStyle w:val="FirstParagraph"/>
      </w:pPr>
      <w:r>
        <w:t xml:space="preserve">For this product-level analysis with a "factory_gate" boundary, Scope 1 emissions, typically from direct fuel combustion in owned or controlled sources, are assumed to be negligible or zero for the manufacturing of</w:t>
      </w:r>
      <w:r>
        <w:t xml:space="preserve"> </w:t>
      </w:r>
      <w:r>
        <w:t xml:space="preserve">ldxrjjywms</w:t>
      </w:r>
      <w:r>
        <w:t xml:space="preserve">. Any direct process emissions at the facility would be captured here.</w:t>
      </w:r>
    </w:p>
    <w:p>
      <w:pPr>
        <w:pStyle w:val="BodyText"/>
      </w:pPr>
      <w:r>
        <w:rPr>
          <w:bCs/>
          <w:b/>
        </w:rPr>
        <w:t xml:space="preserve">Total Scope 1 Emissions: 0.0 kg CO2e/unit</w:t>
      </w:r>
    </w:p>
    <w:bookmarkEnd w:id="35"/>
    <w:bookmarkStart w:id="36" w:name="X300ecfb2907e18ae93574f091355a60be201fec"/>
    <w:p>
      <w:pPr>
        <w:pStyle w:val="Heading4"/>
      </w:pPr>
      <w:r>
        <w:t xml:space="preserve">Scope 2 Emissions (Indirect from Purchased Energy)</w:t>
      </w:r>
    </w:p>
    <w:p>
      <w:pPr>
        <w:pStyle w:val="FirstParagraph"/>
      </w:pPr>
      <w:r>
        <w:t xml:space="preserve">These emissions arise from the generation of purchased electricity for the production of</w:t>
      </w:r>
      <w:r>
        <w:t xml:space="preserve"> </w:t>
      </w:r>
      <w:r>
        <w:t xml:space="preserve">ldxrjjywms</w:t>
      </w:r>
      <w:r>
        <w:t xml:space="preserve"> </w:t>
      </w:r>
      <w:r>
        <w:t xml:space="preserve">in China.</w:t>
      </w:r>
    </w:p>
    <w:p>
      <w:pPr>
        <w:numPr>
          <w:ilvl w:val="0"/>
          <w:numId w:val="1007"/>
        </w:numPr>
        <w:pStyle w:val="Compact"/>
      </w:pPr>
      <w:r>
        <w:t xml:space="preserve">Energy Intensity: 5.0 kWh/unit</w:t>
      </w:r>
    </w:p>
    <w:p>
      <w:pPr>
        <w:numPr>
          <w:ilvl w:val="0"/>
          <w:numId w:val="1007"/>
        </w:numPr>
        <w:pStyle w:val="Compact"/>
      </w:pPr>
      <w:r>
        <w:t xml:space="preserve">China Grid Emission Factor: 0.7 kg CO2e/kWh</w:t>
      </w:r>
    </w:p>
    <w:p>
      <w:pPr>
        <w:numPr>
          <w:ilvl w:val="0"/>
          <w:numId w:val="1007"/>
        </w:numPr>
        <w:pStyle w:val="Compact"/>
      </w:pPr>
      <w:r>
        <w:t xml:space="preserve">Renewable Energy Usage: 70%</w:t>
      </w:r>
    </w:p>
    <w:p>
      <w:pPr>
        <w:numPr>
          <w:ilvl w:val="0"/>
          <w:numId w:val="1007"/>
        </w:numPr>
        <w:pStyle w:val="Compact"/>
      </w:pPr>
      <w:r>
        <w:t xml:space="preserve">Non-renewable energy portion: (100% - 70%) = 30%</w:t>
      </w:r>
    </w:p>
    <w:p>
      <w:pPr>
        <w:numPr>
          <w:ilvl w:val="0"/>
          <w:numId w:val="1007"/>
        </w:numPr>
        <w:pStyle w:val="Compact"/>
      </w:pPr>
      <w:r>
        <w:t xml:space="preserve">Emissions = Energy Intensity * China Grid EF * Non-renewable portion</w:t>
      </w:r>
    </w:p>
    <w:p>
      <w:pPr>
        <w:numPr>
          <w:ilvl w:val="0"/>
          <w:numId w:val="1007"/>
        </w:numPr>
        <w:pStyle w:val="Compact"/>
      </w:pPr>
      <w:r>
        <w:t xml:space="preserve">Calculation: 5.0 kWh/unit * 0.7 kg CO2e/kWh * 0.30 = 1.05 kg CO2e/unit</w:t>
      </w:r>
    </w:p>
    <w:p>
      <w:pPr>
        <w:pStyle w:val="FirstParagraph"/>
      </w:pPr>
      <w:r>
        <w:rPr>
          <w:bCs/>
          <w:b/>
        </w:rPr>
        <w:t xml:space="preserve">Total Scope 2 Emissions: 1.05 kg CO2e/unit</w:t>
      </w:r>
    </w:p>
    <w:bookmarkEnd w:id="36"/>
    <w:bookmarkStart w:id="37" w:name="Xc0e8d524e8c55442a875a6363c71b09ba079b79"/>
    <w:p>
      <w:pPr>
        <w:pStyle w:val="Heading4"/>
      </w:pPr>
      <w:r>
        <w:t xml:space="preserve">Scope 3 Emissions (Other Indirect Emissions)</w:t>
      </w:r>
    </w:p>
    <w:p>
      <w:pPr>
        <w:pStyle w:val="FirstParagraph"/>
      </w:pPr>
      <w:r>
        <w:t xml:space="preserve">Scope 3 encompasses all other indirect emissions from the value chain, both upstream and downstream. This category often represents the largest portion of a product\'s carbon footprint.</w:t>
      </w:r>
    </w:p>
    <w:bookmarkEnd w:id="37"/>
    <w:bookmarkStart w:id="38" w:name="X0c77bd559d88c49058519a6d8afdc07465a0786"/>
    <w:p>
      <w:pPr>
        <w:pStyle w:val="Heading4"/>
      </w:pPr>
      <w:r>
        <w:t xml:space="preserve">Scope 3.1: Purchased Goods and Services (Materials)</w:t>
      </w:r>
    </w:p>
    <w:p>
      <w:pPr>
        <w:pStyle w:val="FirstParagraph"/>
      </w:pPr>
      <w:r>
        <w:t xml:space="preserve">Emissions from the extraction, production, and pre-processing of raw materials based on the provided BOM.</w:t>
      </w:r>
    </w:p>
    <w:p>
      <w:pPr>
        <w:numPr>
          <w:ilvl w:val="0"/>
          <w:numId w:val="1008"/>
        </w:numPr>
        <w:pStyle w:val="Compact"/>
      </w:pPr>
      <w:r>
        <w:t xml:space="preserve">Aluminum Casing: 6.0 kg CO2e</w:t>
      </w:r>
    </w:p>
    <w:p>
      <w:pPr>
        <w:numPr>
          <w:ilvl w:val="0"/>
          <w:numId w:val="1008"/>
        </w:numPr>
        <w:pStyle w:val="Compact"/>
      </w:pPr>
      <w:r>
        <w:t xml:space="preserve">ABS Plastic Components: 0.7 kg CO2e</w:t>
      </w:r>
    </w:p>
    <w:p>
      <w:pPr>
        <w:numPr>
          <w:ilvl w:val="0"/>
          <w:numId w:val="1008"/>
        </w:numPr>
        <w:pStyle w:val="Compact"/>
      </w:pPr>
      <w:r>
        <w:t xml:space="preserve">Electronic Board: 2.5 kg CO2e</w:t>
      </w:r>
    </w:p>
    <w:p>
      <w:pPr>
        <w:numPr>
          <w:ilvl w:val="0"/>
          <w:numId w:val="1008"/>
        </w:numPr>
        <w:pStyle w:val="Compact"/>
      </w:pPr>
      <w:r>
        <w:t xml:space="preserve">Lithium-ion Battery: 2.0 kg CO2e</w:t>
      </w:r>
    </w:p>
    <w:p>
      <w:pPr>
        <w:pStyle w:val="FirstParagraph"/>
      </w:pPr>
      <w:r>
        <w:rPr>
          <w:bCs/>
          <w:b/>
        </w:rPr>
        <w:t xml:space="preserve">Total Scope 3.1 Emissions (Materials): 11.2 kg CO2e/unit</w:t>
      </w:r>
    </w:p>
    <w:bookmarkEnd w:id="38"/>
    <w:bookmarkStart w:id="39" w:name="X9b0f6f67aa201706e0943e1de49f9eaf2ec854b"/>
    <w:p>
      <w:pPr>
        <w:pStyle w:val="Heading4"/>
      </w:pPr>
      <w:r>
        <w:t xml:space="preserve">Scope 3.4 &amp; 3.9: Transportation and Distribution (Upstream &amp; Downstream)</w:t>
      </w:r>
    </w:p>
    <w:p>
      <w:pPr>
        <w:pStyle w:val="FirstParagraph"/>
      </w:pPr>
      <w:r>
        <w:t xml:space="preserve">Emissions from transporting materials to the factory (simplified as part of material EF here) and transporting the finished product to the customer.</w:t>
      </w:r>
    </w:p>
    <w:p>
      <w:pPr>
        <w:numPr>
          <w:ilvl w:val="0"/>
          <w:numId w:val="1009"/>
        </w:numPr>
        <w:pStyle w:val="Compact"/>
      </w:pPr>
      <w:r>
        <w:rPr>
          <w:bCs/>
          <w:b/>
        </w:rPr>
        <w:t xml:space="preserve">Intercontinental Transport (Ocean Freight - China to Europe):</w:t>
      </w:r>
    </w:p>
    <w:p>
      <w:pPr>
        <w:numPr>
          <w:ilvl w:val="0"/>
          <w:numId w:val="1009"/>
        </w:numPr>
        <w:pStyle w:val="Compact"/>
      </w:pPr>
      <w:r>
        <w:t xml:space="preserve">Product Weight: Sum of BOM quantities (0.5 + 0.2 + 0.1 + 0.05) = 0.85 kg/unit = 0.00085 tonnes/unit</w:t>
      </w:r>
    </w:p>
    <w:p>
      <w:pPr>
        <w:numPr>
          <w:ilvl w:val="0"/>
          <w:numId w:val="1009"/>
        </w:numPr>
        <w:pStyle w:val="Compact"/>
      </w:pPr>
      <w:r>
        <w:t xml:space="preserve">Distance: 15,000 km</w:t>
      </w:r>
    </w:p>
    <w:p>
      <w:pPr>
        <w:numPr>
          <w:ilvl w:val="0"/>
          <w:numId w:val="1009"/>
        </w:numPr>
        <w:pStyle w:val="Compact"/>
      </w:pPr>
      <w:r>
        <w:t xml:space="preserve">Emission Factor: 0.01 kg CO2e/tonne-km</w:t>
      </w:r>
    </w:p>
    <w:p>
      <w:pPr>
        <w:numPr>
          <w:ilvl w:val="0"/>
          <w:numId w:val="1009"/>
        </w:numPr>
        <w:pStyle w:val="Compact"/>
      </w:pPr>
      <w:r>
        <w:t xml:space="preserve">Calculation: 0.00085 tonnes/unit * 15,000 km * 0.01 kg CO2e/tonne-km = 0.1275 kg CO2e/unit</w:t>
      </w:r>
    </w:p>
    <w:p>
      <w:pPr>
        <w:numPr>
          <w:ilvl w:val="0"/>
          <w:numId w:val="1009"/>
        </w:numPr>
        <w:pStyle w:val="Compact"/>
      </w:pPr>
      <w:r>
        <w:rPr>
          <w:bCs/>
          <w:b/>
        </w:rPr>
        <w:t xml:space="preserve">European Distribution (Heavy-Duty Road Freight):</w:t>
      </w:r>
    </w:p>
    <w:p>
      <w:pPr>
        <w:numPr>
          <w:ilvl w:val="0"/>
          <w:numId w:val="1009"/>
        </w:numPr>
        <w:pStyle w:val="Compact"/>
      </w:pPr>
      <w:r>
        <w:t xml:space="preserve">Product Weight: 0.00085 tonnes/unit</w:t>
      </w:r>
    </w:p>
    <w:p>
      <w:pPr>
        <w:numPr>
          <w:ilvl w:val="0"/>
          <w:numId w:val="1009"/>
        </w:numPr>
        <w:pStyle w:val="Compact"/>
      </w:pPr>
      <w:r>
        <w:t xml:space="preserve">Distance: 1,200 km</w:t>
      </w:r>
    </w:p>
    <w:p>
      <w:pPr>
        <w:numPr>
          <w:ilvl w:val="0"/>
          <w:numId w:val="1009"/>
        </w:numPr>
        <w:pStyle w:val="Compact"/>
      </w:pPr>
      <w:r>
        <w:t xml:space="preserve">Emission Factor: 0.09 kg CO2e/tonne-km</w:t>
      </w:r>
    </w:p>
    <w:p>
      <w:pPr>
        <w:numPr>
          <w:ilvl w:val="0"/>
          <w:numId w:val="1009"/>
        </w:numPr>
        <w:pStyle w:val="Compact"/>
      </w:pPr>
      <w:r>
        <w:t xml:space="preserve">Calculation: 0.00085 tonnes/unit * 1,200 km * 0.09 kg CO2e/tonne-km = 0.0918 kg CO2e/unit</w:t>
      </w:r>
    </w:p>
    <w:p>
      <w:pPr>
        <w:numPr>
          <w:ilvl w:val="0"/>
          <w:numId w:val="1009"/>
        </w:numPr>
        <w:pStyle w:val="Compact"/>
      </w:pPr>
      <w:r>
        <w:rPr>
          <w:bCs/>
          <w:b/>
        </w:rPr>
        <w:t xml:space="preserve">Last-Mile Delivery (LCV Road Freight):</w:t>
      </w:r>
    </w:p>
    <w:p>
      <w:pPr>
        <w:numPr>
          <w:ilvl w:val="0"/>
          <w:numId w:val="1009"/>
        </w:numPr>
        <w:pStyle w:val="Compact"/>
      </w:pPr>
      <w:r>
        <w:t xml:space="preserve">Product Weight: 0.00085 tonnes/unit</w:t>
      </w:r>
    </w:p>
    <w:p>
      <w:pPr>
        <w:numPr>
          <w:ilvl w:val="0"/>
          <w:numId w:val="1009"/>
        </w:numPr>
        <w:pStyle w:val="Compact"/>
      </w:pPr>
      <w:r>
        <w:t xml:space="preserve">Distance: 150 km</w:t>
      </w:r>
    </w:p>
    <w:p>
      <w:pPr>
        <w:numPr>
          <w:ilvl w:val="0"/>
          <w:numId w:val="1009"/>
        </w:numPr>
        <w:pStyle w:val="Compact"/>
      </w:pPr>
      <w:r>
        <w:t xml:space="preserve">Emission Factor: 0.2 kg CO2e/tonne-km</w:t>
      </w:r>
    </w:p>
    <w:p>
      <w:pPr>
        <w:numPr>
          <w:ilvl w:val="0"/>
          <w:numId w:val="1009"/>
        </w:numPr>
        <w:pStyle w:val="Compact"/>
      </w:pPr>
      <w:r>
        <w:t xml:space="preserve">Calculation: 0.00085 tonnes/unit * 150 km * 0.2 kg CO2e/tonne-km = 0.0255 kg CO2e/unit</w:t>
      </w:r>
    </w:p>
    <w:p>
      <w:pPr>
        <w:pStyle w:val="FirstParagraph"/>
      </w:pPr>
      <w:r>
        <w:rPr>
          <w:bCs/>
          <w:b/>
        </w:rPr>
        <w:t xml:space="preserve">Total Scope 3.4 &amp; 3.9 Emissions (Transport): 0.1275 + 0.0918 + 0.0255 = 0.2448 kg CO2e/unit</w:t>
      </w:r>
    </w:p>
    <w:bookmarkEnd w:id="39"/>
    <w:bookmarkStart w:id="40" w:name="scope-3.11-use-of-sold-products"/>
    <w:p>
      <w:pPr>
        <w:pStyle w:val="Heading4"/>
      </w:pPr>
      <w:r>
        <w:t xml:space="preserve">Scope 3.11: Use of Sold Products</w:t>
      </w:r>
    </w:p>
    <w:p>
      <w:pPr>
        <w:pStyle w:val="FirstParagraph"/>
      </w:pPr>
      <w:r>
        <w:t xml:space="preserve">Emissions from the energy consumption during the product\'s lifespan.</w:t>
      </w:r>
    </w:p>
    <w:p>
      <w:pPr>
        <w:numPr>
          <w:ilvl w:val="0"/>
          <w:numId w:val="1010"/>
        </w:numPr>
        <w:pStyle w:val="Compact"/>
      </w:pPr>
      <w:r>
        <w:t xml:space="preserve">Product Lifespan: 5 years</w:t>
      </w:r>
    </w:p>
    <w:p>
      <w:pPr>
        <w:numPr>
          <w:ilvl w:val="0"/>
          <w:numId w:val="1010"/>
        </w:numPr>
        <w:pStyle w:val="Compact"/>
      </w:pPr>
      <w:r>
        <w:t xml:space="preserve">Energy Consumption per year: 10 kWh/year</w:t>
      </w:r>
    </w:p>
    <w:p>
      <w:pPr>
        <w:numPr>
          <w:ilvl w:val="0"/>
          <w:numId w:val="1010"/>
        </w:numPr>
        <w:pStyle w:val="Compact"/>
      </w:pPr>
      <w:r>
        <w:t xml:space="preserve">Total Energy Consumption: 5 years * 10 kWh/year = 50 kWh</w:t>
      </w:r>
    </w:p>
    <w:p>
      <w:pPr>
        <w:numPr>
          <w:ilvl w:val="0"/>
          <w:numId w:val="1010"/>
        </w:numPr>
        <w:pStyle w:val="Compact"/>
      </w:pPr>
      <w:r>
        <w:t xml:space="preserve">Default Electricity Grid Emission Factor (assuming average European mix for consumer use): 0.3 kg CO2e/kWh (Illustrative)</w:t>
      </w:r>
    </w:p>
    <w:p>
      <w:pPr>
        <w:numPr>
          <w:ilvl w:val="0"/>
          <w:numId w:val="1010"/>
        </w:numPr>
        <w:pStyle w:val="Compact"/>
      </w:pPr>
      <w:r>
        <w:t xml:space="preserve">Calculation: 50 kWh * 0.3 kg CO2e/kWh = 15.0 kg CO2e/unit</w:t>
      </w:r>
    </w:p>
    <w:p>
      <w:pPr>
        <w:pStyle w:val="FirstParagraph"/>
      </w:pPr>
      <w:r>
        <w:rPr>
          <w:bCs/>
          <w:b/>
        </w:rPr>
        <w:t xml:space="preserve">Total Scope 3.11 Emissions (Use Phase): 15.0 kg CO2e/unit</w:t>
      </w:r>
    </w:p>
    <w:bookmarkEnd w:id="40"/>
    <w:bookmarkStart w:id="41" w:name="X9fc91a72ab3ebc4fc98e1b15ad63d38d83cf3ac"/>
    <w:p>
      <w:pPr>
        <w:pStyle w:val="Heading4"/>
      </w:pPr>
      <w:r>
        <w:t xml:space="preserve">Scope 3.12: End-of-Life Treatment of Sold Products</w:t>
      </w:r>
    </w:p>
    <w:p>
      <w:pPr>
        <w:pStyle w:val="FirstParagraph"/>
      </w:pPr>
      <w:r>
        <w:t xml:space="preserve">Emissions associated with the disposal and recycling of the product at the end of its life.</w:t>
      </w:r>
    </w:p>
    <w:p>
      <w:pPr>
        <w:numPr>
          <w:ilvl w:val="0"/>
          <w:numId w:val="1011"/>
        </w:numPr>
        <w:pStyle w:val="Compact"/>
      </w:pPr>
      <w:r>
        <w:t xml:space="preserve">Product Weight: 0.85 kg/unit</w:t>
      </w:r>
    </w:p>
    <w:p>
      <w:pPr>
        <w:numPr>
          <w:ilvl w:val="0"/>
          <w:numId w:val="1011"/>
        </w:numPr>
        <w:pStyle w:val="Compact"/>
      </w:pPr>
      <w:r>
        <w:t xml:space="preserve">Recyclability Percentage: 60%</w:t>
      </w:r>
    </w:p>
    <w:p>
      <w:pPr>
        <w:numPr>
          <w:ilvl w:val="0"/>
          <w:numId w:val="1011"/>
        </w:numPr>
        <w:pStyle w:val="Compact"/>
      </w:pPr>
      <w:r>
        <w:t xml:space="preserve">Non-recycled portion: (100% - 60%) = 40%</w:t>
      </w:r>
    </w:p>
    <w:p>
      <w:pPr>
        <w:numPr>
          <w:ilvl w:val="0"/>
          <w:numId w:val="1011"/>
        </w:numPr>
        <w:pStyle w:val="Compact"/>
      </w:pPr>
      <w:r>
        <w:t xml:space="preserve">Waste to Landfill (non-recycled): 0.85 kg/unit * 0.40 = 0.34 kg/unit</w:t>
      </w:r>
    </w:p>
    <w:p>
      <w:pPr>
        <w:numPr>
          <w:ilvl w:val="0"/>
          <w:numId w:val="1011"/>
        </w:numPr>
        <w:pStyle w:val="Compact"/>
      </w:pPr>
      <w:r>
        <w:t xml:space="preserve">Emission Factor (Landfill, Illustrative): 0.5 kg CO2e/kg</w:t>
      </w:r>
    </w:p>
    <w:p>
      <w:pPr>
        <w:numPr>
          <w:ilvl w:val="0"/>
          <w:numId w:val="1011"/>
        </w:numPr>
        <w:pStyle w:val="Compact"/>
      </w:pPr>
      <w:r>
        <w:t xml:space="preserve">Calculation: 0.34 kg/unit * 0.5 kg CO2e/kg = 0.17 kg CO2e/unit</w:t>
      </w:r>
    </w:p>
    <w:p>
      <w:pPr>
        <w:numPr>
          <w:ilvl w:val="0"/>
          <w:numId w:val="1011"/>
        </w:numPr>
        <w:pStyle w:val="Compact"/>
      </w:pPr>
      <w:r>
        <w:t xml:space="preserve">Circular/Take-back Programs: "Yes" (This would ideally lead to higher recycling rates or material recovery, potentially reducing net EoL emissions. For this illustrative report, the 60% recyclability already accounts for this, and specific credits for recycled material are not calculated without more detailed LCI data.)</w:t>
      </w:r>
    </w:p>
    <w:p>
      <w:pPr>
        <w:pStyle w:val="FirstParagraph"/>
      </w:pPr>
      <w:r>
        <w:rPr>
          <w:bCs/>
          <w:b/>
        </w:rPr>
        <w:t xml:space="preserve">Total Scope 3.12 Emissions (End-of-Life): 0.17 kg CO2e/unit</w:t>
      </w:r>
    </w:p>
    <w:p>
      <w:r>
        <w:pict>
          <v:rect style="width:0;height:1.5pt" o:hralign="center" o:hrstd="t" o:hr="t"/>
        </w:pict>
      </w:r>
    </w:p>
    <w:bookmarkEnd w:id="41"/>
    <w:bookmarkEnd w:id="42"/>
    <w:bookmarkStart w:id="43" w:name="X89712ad2f96f1545c787068fc4ef6a440b6ce2b"/>
    <w:p>
      <w:pPr>
        <w:pStyle w:val="Heading3"/>
      </w:pPr>
      <w:r>
        <w:t xml:space="preserve">Summary of Calculated Emissions (Illustrative)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 Category</w:t>
            </w:r>
          </w:p>
        </w:tc>
        <w:tc>
          <w:tcPr/>
          <w:p>
            <w:pPr>
              <w:pStyle w:val="Compact"/>
              <w:jc w:val="left"/>
            </w:pPr>
            <w:r>
              <w:t xml:space="preserve">Description</w:t>
            </w:r>
          </w:p>
        </w:tc>
        <w:tc>
          <w:tcPr/>
          <w:p>
            <w:pPr>
              <w:pStyle w:val="Compact"/>
              <w:jc w:val="left"/>
            </w:pPr>
            <w:r>
              <w:t xml:space="preserve">kg CO2e/unit</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(e.g., owned facilities)</w:t>
            </w:r>
          </w:p>
        </w:tc>
        <w:tc>
          <w:tcPr/>
          <w:p>
            <w:pPr>
              <w:pStyle w:val="Compact"/>
              <w:jc w:val="left"/>
            </w:pPr>
            <w:r>
              <w:t xml:space="preserve">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(Production in China)</w:t>
            </w:r>
          </w:p>
        </w:tc>
        <w:tc>
          <w:tcPr/>
          <w:p>
            <w:pPr>
              <w:pStyle w:val="Compact"/>
              <w:jc w:val="left"/>
            </w:pPr>
            <w:r>
              <w:t xml:space="preserve">1.05</w:t>
            </w:r>
          </w:p>
        </w:tc>
        <w:tc>
          <w:tcPr/>
          <w:p>
            <w:pPr>
              <w:pStyle w:val="Compact"/>
              <w:jc w:val="left"/>
            </w:pPr>
            <w:r>
              <w:t xml:space="preserve">3.8%</w:t>
            </w:r>
          </w:p>
        </w:tc>
      </w:tr>
      <w:tr>
        <w:tc>
          <w:tcPr>
            <w:gridSpan w:val="4"/>
          </w:tcPr>
          <w:p>
            <w:pPr>
              <w:pStyle w:val="Compact"/>
              <w:jc w:val="left"/>
            </w:pPr>
            <w:r>
              <w:rPr>
                <w:bCs/>
                <w:b/>
              </w:rPr>
              <w:t xml:space="preserve">Scope 3 Emissions</w:t>
            </w:r>
          </w:p>
        </w:tc>
      </w:tr>
      <w:tr>
        <w:tc>
          <w:tcPr/>
          <w:p>
            <w:pPr>
              <w:pStyle w:val="Compact"/>
              <w:jc w:val="left"/>
            </w:pPr>
            <w:r>
              <w:t xml:space="preserve">   Scope 3.1</w:t>
            </w:r>
          </w:p>
        </w:tc>
        <w:tc>
          <w:tcPr/>
          <w:p>
            <w:pPr>
              <w:pStyle w:val="Compact"/>
              <w:jc w:val="left"/>
            </w:pPr>
            <w:r>
              <w:t xml:space="preserve">Purchased Goods &amp; Services (Materials)</w:t>
            </w:r>
          </w:p>
        </w:tc>
        <w:tc>
          <w:tcPr/>
          <w:p>
            <w:pPr>
              <w:pStyle w:val="Compact"/>
              <w:jc w:val="left"/>
            </w:pPr>
            <w:r>
              <w:t xml:space="preserve">11.2</w:t>
            </w:r>
          </w:p>
        </w:tc>
        <w:tc>
          <w:tcPr/>
          <w:p>
            <w:pPr>
              <w:pStyle w:val="Compact"/>
              <w:jc w:val="left"/>
            </w:pPr>
            <w:r>
              <w:t xml:space="preserve">40.4%</w:t>
            </w:r>
          </w:p>
        </w:tc>
      </w:tr>
      <w:tr>
        <w:tc>
          <w:tcPr/>
          <w:p>
            <w:pPr>
              <w:pStyle w:val="Compact"/>
              <w:jc w:val="left"/>
            </w:pPr>
            <w:r>
              <w:t xml:space="preserve">   Scope 3.4 &amp; 3.9</w:t>
            </w:r>
          </w:p>
        </w:tc>
        <w:tc>
          <w:tcPr/>
          <w:p>
            <w:pPr>
              <w:pStyle w:val="Compact"/>
              <w:jc w:val="left"/>
            </w:pPr>
            <w:r>
              <w:t xml:space="preserve">Transportation &amp; Distribution</w:t>
            </w:r>
          </w:p>
        </w:tc>
        <w:tc>
          <w:tcPr/>
          <w:p>
            <w:pPr>
              <w:pStyle w:val="Compact"/>
              <w:jc w:val="left"/>
            </w:pPr>
            <w:r>
              <w:t xml:space="preserve">0.2448</w:t>
            </w:r>
          </w:p>
        </w:tc>
        <w:tc>
          <w:tcPr/>
          <w:p>
            <w:pPr>
              <w:pStyle w:val="Compact"/>
              <w:jc w:val="left"/>
            </w:pPr>
            <w:r>
              <w:t xml:space="preserve">0.9%</w:t>
            </w:r>
          </w:p>
        </w:tc>
      </w:tr>
      <w:tr>
        <w:tc>
          <w:tcPr/>
          <w:p>
            <w:pPr>
              <w:pStyle w:val="Compact"/>
              <w:jc w:val="left"/>
            </w:pPr>
            <w:r>
              <w:t xml:space="preserve">   Scope 3.11</w:t>
            </w:r>
          </w:p>
        </w:tc>
        <w:tc>
          <w:tcPr/>
          <w:p>
            <w:pPr>
              <w:pStyle w:val="Compact"/>
              <w:jc w:val="left"/>
            </w:pPr>
            <w:r>
              <w:t xml:space="preserve">Use of Sold Products</w:t>
            </w:r>
          </w:p>
        </w:tc>
        <w:tc>
          <w:tcPr/>
          <w:p>
            <w:pPr>
              <w:pStyle w:val="Compact"/>
              <w:jc w:val="left"/>
            </w:pPr>
            <w:r>
              <w:t xml:space="preserve">15.0</w:t>
            </w:r>
          </w:p>
        </w:tc>
        <w:tc>
          <w:tcPr/>
          <w:p>
            <w:pPr>
              <w:pStyle w:val="Compact"/>
              <w:jc w:val="left"/>
            </w:pPr>
            <w:r>
              <w:t xml:space="preserve">54.1%</w:t>
            </w:r>
          </w:p>
        </w:tc>
      </w:tr>
      <w:tr>
        <w:tc>
          <w:tcPr/>
          <w:p>
            <w:pPr>
              <w:pStyle w:val="Compact"/>
              <w:jc w:val="left"/>
            </w:pPr>
            <w:r>
              <w:t xml:space="preserve">   Scope 3.12</w:t>
            </w:r>
          </w:p>
        </w:tc>
        <w:tc>
          <w:tcPr/>
          <w:p>
            <w:pPr>
              <w:pStyle w:val="Compact"/>
              <w:jc w:val="left"/>
            </w:pPr>
            <w:r>
              <w:t xml:space="preserve">End-of-Life Treatment of Sold Products</w:t>
            </w:r>
          </w:p>
        </w:tc>
        <w:tc>
          <w:tcPr/>
          <w:p>
            <w:pPr>
              <w:pStyle w:val="Compact"/>
              <w:jc w:val="left"/>
            </w:pPr>
            <w:r>
              <w:t xml:space="preserve">0.17</w:t>
            </w:r>
          </w:p>
        </w:tc>
        <w:tc>
          <w:tcPr/>
          <w:p>
            <w:pPr>
              <w:pStyle w:val="Compact"/>
              <w:jc w:val="left"/>
            </w:pPr>
            <w:r>
              <w:t xml:space="preserve">0.6%</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27.6648</w:t>
            </w:r>
          </w:p>
        </w:tc>
        <w:tc>
          <w:tcPr/>
          <w:p>
            <w:pPr>
              <w:pStyle w:val="Compact"/>
              <w:jc w:val="left"/>
            </w:pPr>
            <w:r>
              <w:rPr>
                <w:bCs/>
                <w:b/>
              </w:rPr>
              <w:t xml:space="preserve">100.0%</w:t>
            </w:r>
          </w:p>
        </w:tc>
      </w:tr>
    </w:tbl>
    <w:p>
      <w:r>
        <w:pict>
          <v:rect style="width:0;height:1.5pt" o:hralign="center" o:hrstd="t" o:hr="t"/>
        </w:pict>
      </w:r>
    </w:p>
    <w:bookmarkEnd w:id="43"/>
    <w:bookmarkStart w:id="44" w:name="X504f4a86e01fdcfa46a4589bb1b5e0cfaad8629"/>
    <w:p>
      <w:pPr>
        <w:pStyle w:val="Heading3"/>
      </w:pPr>
      <w:r>
        <w:t xml:space="preserve">4.3 2026 Land Sector and Removals (LSR) Standard Update</w:t>
      </w:r>
    </w:p>
    <w:p>
      <w:pPr>
        <w:pStyle w:val="FirstParagraph"/>
      </w:pPr>
      <w:r>
        <w:t xml:space="preserve">The GHG Protocol\'s Land Sector and Removals (LSR) Standard, effective January 1, 2027, provides crucial guidance for quantifying and reporting land-based emissions and removals. While</w:t>
      </w:r>
      <w:r>
        <w:t xml:space="preserve"> </w:t>
      </w:r>
      <w:r>
        <w:t xml:space="preserve">ldxrjjywms</w:t>
      </w:r>
      <w:r>
        <w:t xml:space="preserve"> </w:t>
      </w:r>
      <w:r>
        <w:t xml:space="preserve">does not appear to be directly agriculture or forestry-based, the LSR Standard is relevant for assessing emissions from biogenic products or CO2 removal technologies across the value chain. For this PCF, if any raw materials (</w:t>
      </w:r>
      <w:r>
        <w:t xml:space="preserve">fjpygxom</w:t>
      </w:r>
      <w:r>
        <w:t xml:space="preserve">) were bio-based or involved land-use change in their production, a more detailed analysis applying the LSR Standard would be critical to accurately capture these impacts. Given the provided BOM is primarily metals, plastics, and electronics, direct biogenic emissions or removals are not explicitly identified in this illustrative analysis. However, future assessments should rigorously screen for such elements within the supply chain, especially as Scope 3 coverage becomes more stringent. The accompanying LSR Guidance, expected in Q2 2026, will provide further practical direction for implementation.</w:t>
      </w:r>
    </w:p>
    <w:bookmarkEnd w:id="44"/>
    <w:bookmarkStart w:id="45" w:name="scope-3-compliance-95-coverage"/>
    <w:p>
      <w:pPr>
        <w:pStyle w:val="Heading3"/>
      </w:pPr>
      <w:r>
        <w:t xml:space="preserve">4.4 Scope 3 Compliance (95% Coverage)</w:t>
      </w:r>
    </w:p>
    <w:p>
      <w:pPr>
        <w:pStyle w:val="FirstParagraph"/>
      </w:pPr>
      <w:r>
        <w:t xml:space="preserve">This analysis has aimed for comprehensive</w:t>
      </w:r>
      <w:r>
        <w:t xml:space="preserve"> </w:t>
      </w:r>
      <w:r>
        <w:t xml:space="preserve">Scope 3 coverage of at least 95%</w:t>
      </w:r>
      <w:r>
        <w:t xml:space="preserve"> </w:t>
      </w:r>
      <w:r>
        <w:t xml:space="preserve">by including all major upstream and downstream categories: purchased goods and services (materials), transportation and distribution, use of sold products, and end-of-life treatment. These categories typically represent the vast majority of a product\'s value chain emissions.</w:t>
      </w:r>
    </w:p>
    <w:p>
      <w:r>
        <w:pict>
          <v:rect style="width:0;height:1.5pt" o:hralign="center" o:hrstd="t" o:hr="t"/>
        </w:pict>
      </w:r>
    </w:p>
    <w:bookmarkEnd w:id="45"/>
    <w:bookmarkEnd w:id="46"/>
    <w:bookmarkStart w:id="50" w:name="review-report"/>
    <w:p>
      <w:pPr>
        <w:pStyle w:val="Heading2"/>
      </w:pPr>
      <w:r>
        <w:t xml:space="preserve">5. Review &amp; Report</w:t>
      </w:r>
    </w:p>
    <w:bookmarkStart w:id="47" w:name="hotspots-and-reliability"/>
    <w:p>
      <w:pPr>
        <w:pStyle w:val="Heading3"/>
      </w:pPr>
      <w:r>
        <w:t xml:space="preserve">5.1 Hotspots and Reliability</w:t>
      </w:r>
    </w:p>
    <w:p>
      <w:pPr>
        <w:pStyle w:val="FirstParagraph"/>
      </w:pPr>
      <w:r>
        <w:t xml:space="preserve">Based on the illustrative calculations, the primary emission hotspots for</w:t>
      </w:r>
      <w:r>
        <w:t xml:space="preserve"> </w:t>
      </w:r>
      <w:r>
        <w:t xml:space="preserve">ldxrjjywms</w:t>
      </w:r>
      <w:r>
        <w:t xml:space="preserve"> </w:t>
      </w:r>
      <w:r>
        <w:t xml:space="preserve">are:</w:t>
      </w:r>
    </w:p>
    <w:p>
      <w:pPr>
        <w:numPr>
          <w:ilvl w:val="0"/>
          <w:numId w:val="1012"/>
        </w:numPr>
        <w:pStyle w:val="Compact"/>
      </w:pPr>
      <w:r>
        <w:rPr>
          <w:bCs/>
          <w:b/>
        </w:rPr>
        <w:t xml:space="preserve">Use Phase (54.1%):</w:t>
      </w:r>
      <w:r>
        <w:t xml:space="preserve"> </w:t>
      </w:r>
      <w:r>
        <w:t xml:space="preserve">Energy consumption during the product\'s operational lifespan is the largest contributor. This suggests significant opportunities for improvement through energy-efficient design and promotion of renewable energy use by end-users.</w:t>
      </w:r>
    </w:p>
    <w:p>
      <w:pPr>
        <w:numPr>
          <w:ilvl w:val="0"/>
          <w:numId w:val="1012"/>
        </w:numPr>
        <w:pStyle w:val="Compact"/>
      </w:pPr>
      <w:r>
        <w:rPr>
          <w:bCs/>
          <w:b/>
        </w:rPr>
        <w:t xml:space="preserve">Purchased Goods and Services (Materials) (40.4%):</w:t>
      </w:r>
      <w:r>
        <w:t xml:space="preserve"> </w:t>
      </w:r>
      <w:r>
        <w:t xml:space="preserve">The materials used, particularly Aluminum and the Electronic Board, contribute significantly. Sourcing lower-carbon materials or redesigning for material efficiency could yield substantial reductions.</w:t>
      </w:r>
    </w:p>
    <w:p>
      <w:pPr>
        <w:numPr>
          <w:ilvl w:val="0"/>
          <w:numId w:val="1012"/>
        </w:numPr>
        <w:pStyle w:val="Compact"/>
      </w:pPr>
      <w:r>
        <w:rPr>
          <w:bCs/>
          <w:b/>
        </w:rPr>
        <w:t xml:space="preserve">Production (Scope 2) (3.8%):</w:t>
      </w:r>
      <w:r>
        <w:t xml:space="preserve"> </w:t>
      </w:r>
      <w:r>
        <w:t xml:space="preserve">While smaller than other categories, the emissions from purchased electricity during production can be further reduced by increasing the share of renewable energy beyond the current 70% or investing in on-site renewables.</w:t>
      </w:r>
    </w:p>
    <w:p>
      <w:pPr>
        <w:pStyle w:val="FirstParagraph"/>
      </w:pPr>
      <w:r>
        <w:t xml:space="preserve">The reliability of this report is directly dependent on the accuracy and completeness of the input data. While specific placeholders were used for illustrative purposes, a real-world assessment would require precise, primary data from</w:t>
      </w:r>
      <w:r>
        <w:t xml:space="preserve"> </w:t>
      </w:r>
      <w:r>
        <w:t xml:space="preserve">lwfiriuxrv</w:t>
      </w:r>
      <w:r>
        <w:t xml:space="preserve"> </w:t>
      </w:r>
      <w:r>
        <w:t xml:space="preserve">and its supply chain partners for material quantities, energy consumption, and transport specifics. The use of industry-standard emission factors from Ecoinvent and DEFRA enhances the credibility of secondary data where primary data is unavailable.</w:t>
      </w:r>
    </w:p>
    <w:bookmarkEnd w:id="47"/>
    <w:bookmarkStart w:id="49" w:name="recommendations"/>
    <w:p>
      <w:pPr>
        <w:pStyle w:val="Heading3"/>
      </w:pPr>
      <w:r>
        <w:t xml:space="preserve">5.2 Recommendations</w:t>
      </w:r>
    </w:p>
    <w:p>
      <w:pPr>
        <w:numPr>
          <w:ilvl w:val="0"/>
          <w:numId w:val="1013"/>
        </w:numPr>
        <w:pStyle w:val="Compact"/>
      </w:pPr>
      <w:r>
        <w:rPr>
          <w:bCs/>
          <w:b/>
        </w:rPr>
        <w:t xml:space="preserve">Optimize Use Phase:</w:t>
      </w:r>
      <w:r>
        <w:t xml:space="preserve"> </w:t>
      </w:r>
      <w:r>
        <w:t xml:space="preserve">Invest in R&amp;D for more energy-efficient product designs. Provide clear guidance to consumers on energy-saving usage patterns. Explore subscription models or product-as-a-service to extend product life and manage end-of-life.</w:t>
      </w:r>
    </w:p>
    <w:p>
      <w:pPr>
        <w:numPr>
          <w:ilvl w:val="0"/>
          <w:numId w:val="1013"/>
        </w:numPr>
        <w:pStyle w:val="Compact"/>
      </w:pPr>
      <w:r>
        <w:rPr>
          <w:bCs/>
          <w:b/>
        </w:rPr>
        <w:t xml:space="preserve">Sustainable Sourcing and Design:</w:t>
      </w:r>
      <w:r>
        <w:t xml:space="preserve"> </w:t>
      </w:r>
      <w:r>
        <w:t xml:space="preserve">Engage with suppliers to source lower-carbon materials or components with certified environmental product declarations (EPDs). Explore design alternatives that use fewer materials, lighter materials, or materials with lower embodied carbon.</w:t>
      </w:r>
    </w:p>
    <w:p>
      <w:pPr>
        <w:numPr>
          <w:ilvl w:val="0"/>
          <w:numId w:val="1013"/>
        </w:numPr>
        <w:pStyle w:val="Compact"/>
      </w:pPr>
      <w:r>
        <w:rPr>
          <w:bCs/>
          <w:b/>
        </w:rPr>
        <w:t xml:space="preserve">Enhance Production Renewable Energy:</w:t>
      </w:r>
      <w:r>
        <w:t xml:space="preserve"> </w:t>
      </w:r>
      <w:r>
        <w:t xml:space="preserve">Increase the percentage of renewable energy used in the China production facility beyond 70% to further reduce Scope 2 emissions.</w:t>
      </w:r>
    </w:p>
    <w:p>
      <w:pPr>
        <w:numPr>
          <w:ilvl w:val="0"/>
          <w:numId w:val="1013"/>
        </w:numPr>
        <w:pStyle w:val="Compact"/>
      </w:pPr>
      <w:r>
        <w:rPr>
          <w:bCs/>
          <w:b/>
        </w:rPr>
        <w:t xml:space="preserve">Logistics Optimization:</w:t>
      </w:r>
      <w:r>
        <w:t xml:space="preserve"> </w:t>
      </w:r>
      <w:r>
        <w:t xml:space="preserve">Continuously optimize transport routes, consolidate shipments, and explore lower-emission transport modes where feasible, especially for intercontinental and long-haul distribution.</w:t>
      </w:r>
    </w:p>
    <w:p>
      <w:pPr>
        <w:numPr>
          <w:ilvl w:val="0"/>
          <w:numId w:val="1013"/>
        </w:numPr>
        <w:pStyle w:val="Compact"/>
      </w:pPr>
      <w:r>
        <w:rPr>
          <w:bCs/>
          <w:b/>
        </w:rPr>
        <w:t xml:space="preserve">Strengthen Circular Economy Initiatives:</w:t>
      </w:r>
      <w:r>
        <w:t xml:space="preserve"> </w:t>
      </w:r>
      <w:r>
        <w:t xml:space="preserve">Expand the existing take-back and recycling programs (</w:t>
      </w:r>
      <w:r>
        <w:t xml:space="preserve">pkegsojewj</w:t>
      </w:r>
      <w:r>
        <w:t xml:space="preserve">) to maximize material recovery and explore opportunities for repair, refurbishment, or remanufacturing to extend product lifecycles.</w:t>
      </w:r>
    </w:p>
    <w:p>
      <w:r>
        <w:pict>
          <v:rect style="width:0;height:1.5pt" o:hralign="center" o:hrstd="t" o:hr="t"/>
        </w:pict>
      </w:r>
    </w:p>
    <w:p>
      <w:pPr>
        <w:pStyle w:val="FirstParagraph"/>
      </w:pPr>
      <w:r>
        <w:t xml:space="preserve">Confidential - Internal Use Only | Page</w:t>
      </w:r>
      <w:r>
        <w:t xml:space="preserve"> </w:t>
      </w:r>
      <w:bookmarkStart w:id="48" w:name="pageNumber"/>
      <w:r>
        <w:t xml:space="preserve">1</w:t>
      </w:r>
      <w:bookmarkEnd w:id="48"/>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ldxrjjywms</dc:title>
  <dc:creator/>
  <dc:description>Detailed Product Carbon Footprint (PCF) analysis report for ldxrjjywms, adhering to GHG Protocol and 2026 LSR update, prepared by uzkojnlpjg for lwfiriuxrv.</dc:description>
  <dc:language>en</dc:language>
  <cp:keywords/>
  <dcterms:created xsi:type="dcterms:W3CDTF">2026-08-29T05:35:21Z</dcterms:created>
  <dcterms:modified xsi:type="dcterms:W3CDTF">2026-08-29T05:35:21Z</dcterms:modified>
</cp:coreProperties>
</file>

<file path=docProps/custom.xml><?xml version="1.0" encoding="utf-8"?>
<Properties xmlns="http://schemas.openxmlformats.org/officeDocument/2006/custom-properties" xmlns:vt="http://schemas.openxmlformats.org/officeDocument/2006/docPropsVTypes"/>
</file>