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kkmkzkhfox</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t xml:space="preserve">kkmkzkhfox</w:t>
      </w:r>
    </w:p>
    <w:p>
      <w:pPr>
        <w:pStyle w:val="BodyText"/>
      </w:pPr>
      <w:r>
        <w:t xml:space="preserve">Company Name:</w:t>
      </w:r>
      <w:r>
        <w:t xml:space="preserve"> </w:t>
      </w:r>
      <w:r>
        <w:t xml:space="preserve">revzeksekn</w:t>
      </w:r>
    </w:p>
    <w:p>
      <w:pPr>
        <w:pStyle w:val="BodyText"/>
      </w:pPr>
      <w:r>
        <w:t xml:space="preserve">Accounting Standard:</w:t>
      </w:r>
      <w:r>
        <w:t xml:space="preserve"> </w:t>
      </w:r>
      <w:r>
        <w:t xml:space="preserve">GHG Protocol</w:t>
      </w:r>
    </w:p>
    <w:p>
      <w:pPr>
        <w:pStyle w:val="BodyText"/>
      </w:pPr>
      <w:r>
        <w:t xml:space="preserve">Senior Sustainability Consultant:</w:t>
      </w:r>
      <w:r>
        <w:t xml:space="preserve"> </w:t>
      </w:r>
      <w:r>
        <w:t xml:space="preserve">jvytoqnqqr</w:t>
      </w:r>
    </w:p>
    <w:p>
      <w:pPr>
        <w:pStyle w:val="BodyText"/>
      </w:pPr>
      <w:r>
        <w:t xml:space="preserve">Disclaimer: This report is generated based on available data and industry standards, providing an estimate of the product\'s carbon footprint. Specific emission factors and data inputs are derived from generic sources where primary data was unavailable or specified as placeholders (e.g., "fynrzkqw", "Select Mode", "zeqhjjnwui", "Delivery Type", "lgowgrynkg", "nymwnnmief", "fouoyufpsu", "dyyrxuegmv", "hvtjyxzodd", "dnrlelonzt"). The accuracy of the results is dependent on the representativeness of these assumed values.</w:t>
      </w:r>
    </w:p>
    <w:bookmarkEnd w:id="20"/>
    <w:p>
      <w:pPr>
        <w:pStyle w:val="BodyText"/>
      </w:pPr>
      <w:r>
        <w:t xml:space="preserve">Generated Date: May 20, 2026</w:t>
      </w:r>
    </w:p>
    <w:bookmarkStart w:id="61" w:name="X2bad62a8420fe46ef58716199c3a7717377247b"/>
    <w:p>
      <w:pPr>
        <w:pStyle w:val="Heading1"/>
      </w:pPr>
      <w:r>
        <w:t xml:space="preserve">Product Carbon Footprint Analysis for kkmkzkhfox</w: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kkmkzkhfox</w:t>
      </w:r>
      <w:r>
        <w:t xml:space="preserve">, manufactured by</w:t>
      </w:r>
      <w:r>
        <w:t xml:space="preserve"> </w:t>
      </w:r>
      <w:r>
        <w:t xml:space="preserve">revzeksekn</w:t>
      </w:r>
      <w:r>
        <w:t xml:space="preserve">. The assessment adheres to the</w:t>
      </w:r>
      <w:r>
        <w:t xml:space="preserve"> </w:t>
      </w:r>
      <w:r>
        <w:t xml:space="preserve">GHG Protocol</w:t>
      </w:r>
      <w:r>
        <w:t xml:space="preserve">, including considerations for the 2026 Land Sector and Removals (LSR) Standard update. Conducted by Senior Sustainability Consultant</w:t>
      </w:r>
      <w:r>
        <w:t xml:space="preserve"> </w:t>
      </w:r>
      <w:r>
        <w:t xml:space="preserve">jvytoqnqqr</w:t>
      </w:r>
      <w:r>
        <w:t xml:space="preserve">, this cradle-to-grave analysis quantifies the greenhouse gas emissions associated with the product\'s entire lifecycle, from raw material extraction to end-of-life. The total carbon footprint for one functional unit of</w:t>
      </w:r>
      <w:r>
        <w:t xml:space="preserve"> </w:t>
      </w:r>
      <w:r>
        <w:t xml:space="preserve">kkmkzkhfox</w:t>
      </w:r>
      <w:r>
        <w:t xml:space="preserve"> </w:t>
      </w:r>
      <w:r>
        <w:t xml:space="preserve">is estimated to be</w:t>
      </w:r>
      <w:r>
        <w:t xml:space="preserve"> </w:t>
      </w:r>
      <w:bookmarkStart w:id="21" w:name="exec_summary_total_pcf"/>
      <w:r>
        <w:t xml:space="preserve">XX.XX kg CO2e</w:t>
      </w:r>
      <w:bookmarkEnd w:id="21"/>
      <w:r>
        <w:t xml:space="preserve">, with significant hotspots identified in the material production and use phases.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t xml:space="preserve">kkmkzkhfox</w:t>
      </w:r>
      <w:r>
        <w:t xml:space="preserve"> </w:t>
      </w:r>
      <w:r>
        <w:t xml:space="preserve">was conducted following the five-step methodology as outlined by the GHG Protocol.</w:t>
      </w:r>
    </w:p>
    <w:bookmarkStart w:id="23" w:name="functional-unit"/>
    <w:p>
      <w:pPr>
        <w:pStyle w:val="Heading3"/>
      </w:pPr>
      <w:r>
        <w:t xml:space="preserve">1.1. Functional Unit</w:t>
      </w:r>
    </w:p>
    <w:p>
      <w:pPr>
        <w:numPr>
          <w:ilvl w:val="0"/>
          <w:numId w:val="1001"/>
        </w:numPr>
        <w:pStyle w:val="Compact"/>
      </w:pPr>
      <w:r>
        <w:t xml:space="preserve">The functional unit for this assessment is defined as</w:t>
      </w:r>
      <w:r>
        <w:t xml:space="preserve"> </w:t>
      </w:r>
      <w:r>
        <w:t xml:space="preserve">1.0 unit of kkmkzkhfox</w:t>
      </w:r>
      <w:r>
        <w:t xml:space="preserve">. This unit serves as the reference basis for all quantified environmental impacts.</w:t>
      </w:r>
    </w:p>
    <w:bookmarkEnd w:id="23"/>
    <w:bookmarkStart w:id="24" w:name="system-boundaries"/>
    <w:p>
      <w:pPr>
        <w:pStyle w:val="Heading3"/>
      </w:pPr>
      <w:r>
        <w:t xml:space="preserve">1.2. System Boundaries</w:t>
      </w:r>
    </w:p>
    <w:p>
      <w:pPr>
        <w:numPr>
          <w:ilvl w:val="0"/>
          <w:numId w:val="1002"/>
        </w:numPr>
        <w:pStyle w:val="Compact"/>
      </w:pPr>
      <w:r>
        <w:t xml:space="preserve">This analysis adopts a</w:t>
      </w:r>
      <w:r>
        <w:t xml:space="preserve"> </w:t>
      </w:r>
      <w:r>
        <w:t xml:space="preserve">cradle-to-grave</w:t>
      </w:r>
      <w:r>
        <w:t xml:space="preserve"> </w:t>
      </w:r>
      <w:r>
        <w:t xml:space="preserve">system boundary, encompassing all stages of the product lifecycle:</w:t>
      </w:r>
    </w:p>
    <w:p>
      <w:pPr>
        <w:numPr>
          <w:ilvl w:val="1"/>
          <w:numId w:val="1003"/>
        </w:numPr>
        <w:pStyle w:val="Compact"/>
      </w:pPr>
      <w:r>
        <w:t xml:space="preserve">Raw Material Acquisition &amp; Pre-processing (upstream)</w:t>
      </w:r>
    </w:p>
    <w:p>
      <w:pPr>
        <w:numPr>
          <w:ilvl w:val="1"/>
          <w:numId w:val="1003"/>
        </w:numPr>
        <w:pStyle w:val="Compact"/>
      </w:pPr>
      <w:r>
        <w:t xml:space="preserve">Manufacturing &amp; Production (core processes, factory operations)</w:t>
      </w:r>
    </w:p>
    <w:p>
      <w:pPr>
        <w:numPr>
          <w:ilvl w:val="1"/>
          <w:numId w:val="1003"/>
        </w:numPr>
        <w:pStyle w:val="Compact"/>
      </w:pPr>
      <w:r>
        <w:t xml:space="preserve">Transportation (inbound logistics, outbound distribution, last-mile delivery)</w:t>
      </w:r>
    </w:p>
    <w:p>
      <w:pPr>
        <w:numPr>
          <w:ilvl w:val="1"/>
          <w:numId w:val="1003"/>
        </w:numPr>
        <w:pStyle w:val="Compact"/>
      </w:pPr>
      <w:r>
        <w:t xml:space="preserve">Use Phase (energy consumption during product lifespan)</w:t>
      </w:r>
    </w:p>
    <w:p>
      <w:pPr>
        <w:numPr>
          <w:ilvl w:val="1"/>
          <w:numId w:val="1003"/>
        </w:numPr>
        <w:pStyle w:val="Compact"/>
      </w:pPr>
      <w:r>
        <w:t xml:space="preserve">End-of-Life (EoL) Treatment (recycling, disposal)</w:t>
      </w:r>
    </w:p>
    <w:p>
      <w:pPr>
        <w:numPr>
          <w:ilvl w:val="0"/>
          <w:numId w:val="1002"/>
        </w:numPr>
        <w:pStyle w:val="Compact"/>
      </w:pPr>
      <w:r>
        <w:t xml:space="preserve">While the primary production boundary for the immediate manufacturing process is considered</w:t>
      </w:r>
      <w:r>
        <w:t xml:space="preserve"> </w:t>
      </w:r>
      <w:r>
        <w:t xml:space="preserve">factory_gate</w:t>
      </w:r>
      <w:r>
        <w:t xml:space="preserve">, the comprehensive analysis extends beyond this to capture the full lifecycle impact as per the detailed parameter requirements provided (e.g., product lifespan, energy in use, recyclability).</w:t>
      </w:r>
    </w:p>
    <w:bookmarkEnd w:id="24"/>
    <w:bookmarkStart w:id="25" w:name="geographic-scope"/>
    <w:p>
      <w:pPr>
        <w:pStyle w:val="Heading3"/>
      </w:pPr>
      <w:r>
        <w:t xml:space="preserve">1.3. Geographic Scope</w:t>
      </w:r>
    </w:p>
    <w:p>
      <w:pPr>
        <w:numPr>
          <w:ilvl w:val="0"/>
          <w:numId w:val="1004"/>
        </w:numPr>
        <w:pStyle w:val="Compact"/>
      </w:pPr>
      <w:r>
        <w:t xml:space="preserve">Final Production Country:</w:t>
      </w:r>
      <w:r>
        <w:t xml:space="preserve"> </w:t>
      </w:r>
      <w:r>
        <w:t xml:space="preserve">China</w:t>
      </w:r>
    </w:p>
    <w:p>
      <w:pPr>
        <w:numPr>
          <w:ilvl w:val="0"/>
          <w:numId w:val="1004"/>
        </w:numPr>
        <w:pStyle w:val="Compact"/>
      </w:pPr>
      <w:r>
        <w:t xml:space="preserve">Supply Chain Focus:</w:t>
      </w:r>
      <w:r>
        <w:t xml:space="preserve"> </w:t>
      </w:r>
      <w:r>
        <w:t xml:space="preserve">Europe Focused</w:t>
      </w:r>
      <w:r>
        <w:t xml:space="preserve">, implying key markets and distribution channels primarily within Europe.</w:t>
      </w:r>
    </w:p>
    <w:bookmarkEnd w:id="25"/>
    <w:bookmarkStart w:id="26" w:name="accounting-standard"/>
    <w:p>
      <w:pPr>
        <w:pStyle w:val="Heading3"/>
      </w:pPr>
      <w:r>
        <w:t xml:space="preserve">1.4. Accounting Standard</w:t>
      </w:r>
    </w:p>
    <w:p>
      <w:pPr>
        <w:numPr>
          <w:ilvl w:val="0"/>
          <w:numId w:val="1005"/>
        </w:numPr>
        <w:pStyle w:val="Compact"/>
      </w:pPr>
      <w:r>
        <w:t xml:space="preserve">The assessment strictly adheres to the</w:t>
      </w:r>
      <w:r>
        <w:t xml:space="preserve"> </w:t>
      </w:r>
      <w:r>
        <w:t xml:space="preserve">GHG Protocol Product Standard</w:t>
      </w:r>
      <w:r>
        <w:t xml:space="preserve">. Emissions are categorized into Scope 1 (direct), Scope 2 (purchased energy), and Scope 3 (value chain) to ensure comprehensive reporting.</w:t>
      </w:r>
    </w:p>
    <w:p>
      <w:pPr>
        <w:numPr>
          <w:ilvl w:val="0"/>
          <w:numId w:val="1005"/>
        </w:numPr>
        <w:pStyle w:val="Compact"/>
      </w:pPr>
      <w:r>
        <w:t xml:space="preserve">The analysis also considers the principles of the</w:t>
      </w:r>
      <w:r>
        <w:t xml:space="preserve"> </w:t>
      </w:r>
      <w:r>
        <w:t xml:space="preserve">2026 Land Sector and Removals (LSR) Standard</w:t>
      </w:r>
      <w:r>
        <w:t xml:space="preserve"> </w:t>
      </w:r>
      <w:r>
        <w:t xml:space="preserve">for any relevant land-use change or carbon removal aspects, though specific LSR data for</w:t>
      </w:r>
      <w:r>
        <w:t xml:space="preserve"> </w:t>
      </w:r>
      <w:r>
        <w:t xml:space="preserve">kkmkzkhfox</w:t>
      </w:r>
      <w:r>
        <w:t xml:space="preserve"> </w:t>
      </w:r>
      <w:r>
        <w:t xml:space="preserve">was not provided for this assessment.</w:t>
      </w:r>
    </w:p>
    <w:bookmarkEnd w:id="26"/>
    <w:bookmarkStart w:id="27" w:name="allocation"/>
    <w:p>
      <w:pPr>
        <w:pStyle w:val="Heading3"/>
      </w:pPr>
      <w:r>
        <w:t xml:space="preserve">1.5. Allocation</w:t>
      </w:r>
    </w:p>
    <w:p>
      <w:pPr>
        <w:numPr>
          <w:ilvl w:val="0"/>
          <w:numId w:val="1006"/>
        </w:numPr>
        <w:pStyle w:val="Compact"/>
      </w:pPr>
      <w:r>
        <w:t xml:space="preserve">Allocation of environmental impacts for co-products or waste streams is applied based on mass where appropriate. For this specific single-product analysis, direct attribution is largely feasible.</w:t>
      </w:r>
    </w:p>
    <w:p>
      <w:r>
        <w:pict>
          <v:rect style="width:0;height:1.5pt" o:hralign="center" o:hrstd="t" o:hr="t"/>
        </w:pict>
      </w:r>
    </w:p>
    <w:bookmarkEnd w:id="27"/>
    <w:bookmarkEnd w:id="28"/>
    <w:bookmarkStart w:id="44" w:name="X2bf58de29a7a901ba932b9a6a779f7f86e80a1b"/>
    <w:p>
      <w:pPr>
        <w:pStyle w:val="Heading2"/>
      </w:pPr>
      <w:r>
        <w:t xml:space="preserve">2. Lifecycle Mapping and Data Collection (LCI Inventory)</w:t>
      </w:r>
    </w:p>
    <w:p>
      <w:pPr>
        <w:pStyle w:val="FirstParagraph"/>
      </w:pPr>
      <w:r>
        <w:t xml:space="preserve">This section details the identified lifecycle stages and the primary and secondary data points collected for the analysis of</w:t>
      </w:r>
      <w:r>
        <w:t xml:space="preserve"> </w:t>
      </w:r>
      <w:r>
        <w:t xml:space="preserve">kkmkzkhfox</w:t>
      </w:r>
      <w:r>
        <w:t xml:space="preserve">.</w:t>
      </w:r>
    </w:p>
    <w:bookmarkStart w:id="30" w:name="Xff31e690bfe279af69cf88b9219fe5d56042afb"/>
    <w:p>
      <w:pPr>
        <w:pStyle w:val="Heading3"/>
      </w:pPr>
      <w:r>
        <w:t xml:space="preserve">2.1. Raw Material Acquisition &amp; Pre-processing (Scope 3 - Upstream)</w:t>
      </w:r>
    </w:p>
    <w:p>
      <w:pPr>
        <w:pStyle w:val="FirstParagraph"/>
      </w:pPr>
      <w:r>
        <w:t xml:space="preserve">The following Bill of Materials (BOM) was used for calculating the material impact. Note: The provided BOM string "fynrzkqw" was a placeholder. The data below represents a detailed, assumed BOM based on the specified format: ID, Description, Category, Process, Qty, Unit, Emission Factor (kgCO2e/unit or kg), Total Carbon (kgCO2e). Industry-standard emission factors (generic, representative values, not specific Ecoinvent/DEFRA factors due to system limitations) have been applied.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Smelting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W-003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Mining &amp;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E-004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Component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B-005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Battery 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K-006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Pulping &amp; 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C-007</w:t>
            </w:r>
          </w:p>
        </w:tc>
        <w:tc>
          <w:tcPr/>
          <w:p>
            <w:pPr>
              <w:pStyle w:val="Compact"/>
              <w:jc w:val="left"/>
            </w:pPr>
            <w:r>
              <w:t xml:space="preserve">Minor 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bl>
    <w:p>
      <w:pPr>
        <w:pStyle w:val="BodyText"/>
      </w:pPr>
      <w:r>
        <w:t xml:space="preserve">Total Carbon from Materials:</w:t>
      </w:r>
      <w:r>
        <w:t xml:space="preserve"> </w:t>
      </w:r>
      <w:bookmarkStart w:id="29" w:name="total_material_carbon"/>
      <w:bookmarkEnd w:id="29"/>
      <w:r>
        <w:t xml:space="preserve"> </w:t>
      </w:r>
      <w:r>
        <w:t xml:space="preserve">kg CO2e</w:t>
      </w:r>
    </w:p>
    <w:bookmarkEnd w:id="30"/>
    <w:bookmarkStart w:id="32" w:name="manufacturing-production-scope-1-2"/>
    <w:p>
      <w:pPr>
        <w:pStyle w:val="Heading3"/>
      </w:pPr>
      <w:r>
        <w:t xml:space="preserve">2.2. Manufacturing &amp; Production (Scope 1 &amp; 2)</w:t>
      </w:r>
    </w:p>
    <w:p>
      <w:pPr>
        <w:numPr>
          <w:ilvl w:val="0"/>
          <w:numId w:val="1007"/>
        </w:numPr>
        <w:pStyle w:val="Compact"/>
      </w:pPr>
      <w:r>
        <w:t xml:space="preserve">Energy Intensity:</w:t>
      </w:r>
      <w:r>
        <w:t xml:space="preserve"> </w:t>
      </w:r>
      <w:r>
        <w:t xml:space="preserve">10 kWh/unit</w:t>
      </w:r>
      <w:r>
        <w:t xml:space="preserve"> </w:t>
      </w:r>
      <w:r>
        <w:t xml:space="preserve">(based on placeholder "nymwnnmief").</w:t>
      </w:r>
    </w:p>
    <w:p>
      <w:pPr>
        <w:numPr>
          <w:ilvl w:val="0"/>
          <w:numId w:val="1007"/>
        </w:numPr>
        <w:pStyle w:val="Compact"/>
      </w:pPr>
      <w:r>
        <w:t xml:space="preserve">Renewable Energy Usage:</w:t>
      </w:r>
      <w:r>
        <w:t xml:space="preserve"> </w:t>
      </w:r>
      <w:r>
        <w:t xml:space="preserve">75%</w:t>
      </w:r>
      <w:r>
        <w:t xml:space="preserve"> </w:t>
      </w:r>
      <w:r>
        <w:t xml:space="preserve">(based on placeholder "lgowgrynkg").</w:t>
      </w:r>
    </w:p>
    <w:p>
      <w:pPr>
        <w:numPr>
          <w:ilvl w:val="0"/>
          <w:numId w:val="1007"/>
        </w:numPr>
        <w:pStyle w:val="Compact"/>
      </w:pPr>
      <w:r>
        <w:t xml:space="preserve">Geographic Location: China. Grid electricity emission factor for China is approximated at 0.6 kgCO2e/kWh.</w:t>
      </w:r>
    </w:p>
    <w:p>
      <w:pPr>
        <w:numPr>
          <w:ilvl w:val="0"/>
          <w:numId w:val="1007"/>
        </w:numPr>
        <w:pStyle w:val="Compact"/>
      </w:pPr>
      <w:r>
        <w:t xml:space="preserve">On-site emissions (Scope 1) are assumed negligible for general manufacturing processes unless specific fuel combustion is detailed. This report primarily captures energy use under Scope 2.</w:t>
      </w:r>
    </w:p>
    <w:p>
      <w:pPr>
        <w:pStyle w:val="FirstParagraph"/>
      </w:pPr>
      <w:r>
        <w:t xml:space="preserve">Calculated Blended Grid Emission Factor (for 25% non-renewable portion): 0.25 * 0.6 kgCO2e/kWh = 0.15 kgCO2e/kWh.</w:t>
      </w:r>
    </w:p>
    <w:p>
      <w:pPr>
        <w:pStyle w:val="BodyText"/>
      </w:pPr>
      <w:r>
        <w:t xml:space="preserve">Manufacturing Energy Emissions:</w:t>
      </w:r>
      <w:r>
        <w:t xml:space="preserve"> </w:t>
      </w:r>
      <w:bookmarkStart w:id="31" w:name="manufacturing_energy_emissions"/>
      <w:bookmarkEnd w:id="31"/>
      <w:r>
        <w:t xml:space="preserve"> </w:t>
      </w:r>
      <w:r>
        <w:t xml:space="preserve">kg CO2e</w:t>
      </w:r>
    </w:p>
    <w:bookmarkEnd w:id="32"/>
    <w:bookmarkStart w:id="37" w:name="X981923b8cb60f0edee598a5efe02199461582eb"/>
    <w:p>
      <w:pPr>
        <w:pStyle w:val="Heading3"/>
      </w:pPr>
      <w:r>
        <w:t xml:space="preserve">2.3. Transportation (Scope 3 - Upstream &amp; Downstream)</w:t>
      </w:r>
    </w:p>
    <w:p>
      <w:pPr>
        <w:pStyle w:val="FirstParagraph"/>
      </w:pPr>
      <w:r>
        <w:t xml:space="preserve">Logistics data incorporated into the supply chain analysis (using representative values for placeholders):</w:t>
      </w:r>
    </w:p>
    <w:p>
      <w:pPr>
        <w:numPr>
          <w:ilvl w:val="0"/>
          <w:numId w:val="1008"/>
        </w:numPr>
        <w:pStyle w:val="Compact"/>
      </w:pPr>
      <w:r>
        <w:t xml:space="preserve">Inbound Transport (Raw Materials to Factory in China):</w:t>
      </w:r>
    </w:p>
    <w:p>
      <w:pPr>
        <w:numPr>
          <w:ilvl w:val="1"/>
          <w:numId w:val="1009"/>
        </w:numPr>
        <w:pStyle w:val="Compact"/>
      </w:pPr>
      <w:r>
        <w:t xml:space="preserve">Mode:</w:t>
      </w:r>
      <w:r>
        <w:t xml:space="preserve"> </w:t>
      </w:r>
      <w:r>
        <w:t xml:space="preserve">Sea Freight (Container Ship)</w:t>
      </w:r>
      <w:r>
        <w:t xml:space="preserve"> </w:t>
      </w:r>
      <w:r>
        <w:t xml:space="preserve">(based on placeholder "Select Mode").</w:t>
      </w:r>
    </w:p>
    <w:p>
      <w:pPr>
        <w:numPr>
          <w:ilvl w:val="1"/>
          <w:numId w:val="1009"/>
        </w:numPr>
        <w:pStyle w:val="Compact"/>
      </w:pPr>
      <w:r>
        <w:t xml:space="preserve">Distance:</w:t>
      </w:r>
      <w:r>
        <w:t xml:space="preserve"> </w:t>
      </w:r>
      <w:r>
        <w:t xml:space="preserve">10,000 km</w:t>
      </w:r>
      <w:r>
        <w:t xml:space="preserve"> </w:t>
      </w:r>
      <w:r>
        <w:t xml:space="preserve">(based on placeholder "zeqhjjnwui").</w:t>
      </w:r>
    </w:p>
    <w:p>
      <w:pPr>
        <w:numPr>
          <w:ilvl w:val="1"/>
          <w:numId w:val="1009"/>
        </w:numPr>
        <w:pStyle w:val="Compact"/>
      </w:pPr>
      <w:r>
        <w:t xml:space="preserve">Assumed average weight per unit for inbound materials: 1.2 kg (total BOM weight + minor overhead).</w:t>
      </w:r>
    </w:p>
    <w:p>
      <w:pPr>
        <w:numPr>
          <w:ilvl w:val="1"/>
          <w:numId w:val="1009"/>
        </w:numPr>
        <w:pStyle w:val="Compact"/>
      </w:pPr>
      <w:r>
        <w:t xml:space="preserve">Emission Factor (Sea Freight, container): 0.01 kgCO2e/tonne-km.</w:t>
      </w:r>
    </w:p>
    <w:p>
      <w:pPr>
        <w:numPr>
          <w:ilvl w:val="1"/>
          <w:numId w:val="1009"/>
        </w:numPr>
        <w:pStyle w:val="Compact"/>
      </w:pPr>
      <w:r>
        <w:t xml:space="preserve">Inbound Emissions:</w:t>
      </w:r>
      <w:r>
        <w:t xml:space="preserve"> </w:t>
      </w:r>
      <w:bookmarkStart w:id="33" w:name="inbound_transport_emissions"/>
      <w:bookmarkEnd w:id="33"/>
      <w:r>
        <w:t xml:space="preserve"> </w:t>
      </w:r>
      <w:r>
        <w:t xml:space="preserve">kg CO2e</w:t>
      </w:r>
    </w:p>
    <w:p>
      <w:pPr>
        <w:numPr>
          <w:ilvl w:val="0"/>
          <w:numId w:val="1008"/>
        </w:numPr>
        <w:pStyle w:val="Compact"/>
      </w:pPr>
      <w:r>
        <w:t xml:space="preserve">Outbound Transport (Factory in China to European Distribution Hub):</w:t>
      </w:r>
    </w:p>
    <w:p>
      <w:pPr>
        <w:numPr>
          <w:ilvl w:val="1"/>
          <w:numId w:val="1010"/>
        </w:numPr>
        <w:pStyle w:val="Compact"/>
      </w:pPr>
      <w:r>
        <w:t xml:space="preserve">Mode:</w:t>
      </w:r>
      <w:r>
        <w:t xml:space="preserve"> </w:t>
      </w:r>
      <w:r>
        <w:t xml:space="preserve">Sea Freight (Container Ship)</w:t>
      </w:r>
      <w:r>
        <w:t xml:space="preserve"> </w:t>
      </w:r>
      <w:r>
        <w:t xml:space="preserve">(based on placeholder "Select Mode").</w:t>
      </w:r>
    </w:p>
    <w:p>
      <w:pPr>
        <w:numPr>
          <w:ilvl w:val="1"/>
          <w:numId w:val="1010"/>
        </w:numPr>
        <w:pStyle w:val="Compact"/>
      </w:pPr>
      <w:r>
        <w:t xml:space="preserve">Distance:</w:t>
      </w:r>
      <w:r>
        <w:t xml:space="preserve"> </w:t>
      </w:r>
      <w:r>
        <w:t xml:space="preserve">10,000 km</w:t>
      </w:r>
      <w:r>
        <w:t xml:space="preserve"> </w:t>
      </w:r>
      <w:r>
        <w:t xml:space="preserve">(based on placeholder "zeqhjjnwui").</w:t>
      </w:r>
    </w:p>
    <w:p>
      <w:pPr>
        <w:numPr>
          <w:ilvl w:val="1"/>
          <w:numId w:val="1010"/>
        </w:numPr>
        <w:pStyle w:val="Compact"/>
      </w:pPr>
      <w:r>
        <w:t xml:space="preserve">Assumed product weight for outbound: 1.2 kg.</w:t>
      </w:r>
    </w:p>
    <w:p>
      <w:pPr>
        <w:numPr>
          <w:ilvl w:val="1"/>
          <w:numId w:val="1010"/>
        </w:numPr>
        <w:pStyle w:val="Compact"/>
      </w:pPr>
      <w:r>
        <w:t xml:space="preserve">Emission Factor (Sea Freight, container): 0.01 kgCO2e/tonne-km.</w:t>
      </w:r>
    </w:p>
    <w:p>
      <w:pPr>
        <w:numPr>
          <w:ilvl w:val="1"/>
          <w:numId w:val="1010"/>
        </w:numPr>
        <w:pStyle w:val="Compact"/>
      </w:pPr>
      <w:r>
        <w:t xml:space="preserve">Outbound Emissions (main):</w:t>
      </w:r>
      <w:r>
        <w:t xml:space="preserve"> </w:t>
      </w:r>
      <w:bookmarkStart w:id="34" w:name="outbound_transport_emissions_main"/>
      <w:bookmarkEnd w:id="34"/>
      <w:r>
        <w:t xml:space="preserve"> </w:t>
      </w:r>
      <w:r>
        <w:t xml:space="preserve">kg CO2e</w:t>
      </w:r>
    </w:p>
    <w:p>
      <w:pPr>
        <w:numPr>
          <w:ilvl w:val="0"/>
          <w:numId w:val="1008"/>
        </w:numPr>
        <w:pStyle w:val="Compact"/>
      </w:pPr>
      <w:r>
        <w:t xml:space="preserve">Last-Mile Delivery Channel (European Distribution Hub to Customer):</w:t>
      </w:r>
    </w:p>
    <w:p>
      <w:pPr>
        <w:numPr>
          <w:ilvl w:val="1"/>
          <w:numId w:val="1011"/>
        </w:numPr>
        <w:pStyle w:val="Compact"/>
      </w:pPr>
      <w:r>
        <w:t xml:space="preserve">Mode:</w:t>
      </w:r>
      <w:r>
        <w:t xml:space="preserve"> </w:t>
      </w:r>
      <w:r>
        <w:t xml:space="preserve">Parcel Delivery - Electric Van</w:t>
      </w:r>
      <w:r>
        <w:t xml:space="preserve"> </w:t>
      </w:r>
      <w:r>
        <w:t xml:space="preserve">(based on placeholder "Delivery Type").</w:t>
      </w:r>
    </w:p>
    <w:p>
      <w:pPr>
        <w:numPr>
          <w:ilvl w:val="1"/>
          <w:numId w:val="1011"/>
        </w:numPr>
        <w:pStyle w:val="Compact"/>
      </w:pPr>
      <w:r>
        <w:t xml:space="preserve">Distance:</w:t>
      </w:r>
      <w:r>
        <w:t xml:space="preserve"> </w:t>
      </w:r>
      <w:r>
        <w:t xml:space="preserve">50 km</w:t>
      </w:r>
      <w:r>
        <w:t xml:space="preserve"> </w:t>
      </w:r>
      <w:r>
        <w:t xml:space="preserve">(representative value for last-mile).</w:t>
      </w:r>
    </w:p>
    <w:p>
      <w:pPr>
        <w:numPr>
          <w:ilvl w:val="1"/>
          <w:numId w:val="1011"/>
        </w:numPr>
        <w:pStyle w:val="Compact"/>
      </w:pPr>
      <w:r>
        <w:t xml:space="preserve">Assumed product weight for last-mile: 1.2 kg.</w:t>
      </w:r>
    </w:p>
    <w:p>
      <w:pPr>
        <w:numPr>
          <w:ilvl w:val="1"/>
          <w:numId w:val="1011"/>
        </w:numPr>
        <w:pStyle w:val="Compact"/>
      </w:pPr>
      <w:r>
        <w:t xml:space="preserve">Emission Factor (Electric Van): 0.05 kgCO2e/tonne-km (considering charging from average grid).</w:t>
      </w:r>
    </w:p>
    <w:p>
      <w:pPr>
        <w:numPr>
          <w:ilvl w:val="1"/>
          <w:numId w:val="1011"/>
        </w:numPr>
        <w:pStyle w:val="Compact"/>
      </w:pPr>
      <w:r>
        <w:t xml:space="preserve">Last-Mile Emissions:</w:t>
      </w:r>
      <w:r>
        <w:t xml:space="preserve"> </w:t>
      </w:r>
      <w:bookmarkStart w:id="35" w:name="last_mile_emissions"/>
      <w:bookmarkEnd w:id="35"/>
      <w:r>
        <w:t xml:space="preserve"> </w:t>
      </w:r>
      <w:r>
        <w:t xml:space="preserve">kg CO2e</w:t>
      </w:r>
    </w:p>
    <w:p>
      <w:pPr>
        <w:pStyle w:val="FirstParagraph"/>
      </w:pPr>
      <w:r>
        <w:t xml:space="preserve">Total Carbon from Transportation:</w:t>
      </w:r>
      <w:r>
        <w:t xml:space="preserve"> </w:t>
      </w:r>
      <w:bookmarkStart w:id="36" w:name="total_transport_carbon"/>
      <w:bookmarkEnd w:id="36"/>
      <w:r>
        <w:t xml:space="preserve"> </w:t>
      </w:r>
      <w:r>
        <w:t xml:space="preserve">kg CO2e</w:t>
      </w:r>
    </w:p>
    <w:bookmarkEnd w:id="37"/>
    <w:bookmarkStart w:id="39" w:name="use-phase-scope-3---downstream"/>
    <w:p>
      <w:pPr>
        <w:pStyle w:val="Heading3"/>
      </w:pPr>
      <w:r>
        <w:t xml:space="preserve">2.4. Use Phase (Scope 3 - Downstream)</w:t>
      </w:r>
    </w:p>
    <w:p>
      <w:pPr>
        <w:numPr>
          <w:ilvl w:val="0"/>
          <w:numId w:val="1012"/>
        </w:numPr>
        <w:pStyle w:val="Compact"/>
      </w:pPr>
      <w:r>
        <w:t xml:space="preserve">Product Lifespan:</w:t>
      </w:r>
      <w:r>
        <w:t xml:space="preserve"> </w:t>
      </w:r>
      <w:r>
        <w:t xml:space="preserve">5 years</w:t>
      </w:r>
      <w:r>
        <w:t xml:space="preserve"> </w:t>
      </w:r>
      <w:r>
        <w:t xml:space="preserve">(based on placeholder "fouoyufpsu").</w:t>
      </w:r>
    </w:p>
    <w:p>
      <w:pPr>
        <w:numPr>
          <w:ilvl w:val="0"/>
          <w:numId w:val="1012"/>
        </w:numPr>
        <w:pStyle w:val="Compact"/>
      </w:pPr>
      <w:r>
        <w:t xml:space="preserve">Energy Consumption in Use:</w:t>
      </w:r>
      <w:r>
        <w:t xml:space="preserve"> </w:t>
      </w:r>
      <w:r>
        <w:t xml:space="preserve">20 kWh/year</w:t>
      </w:r>
      <w:r>
        <w:t xml:space="preserve"> </w:t>
      </w:r>
      <w:r>
        <w:t xml:space="preserve">(based on placeholder "dyyrxuegmv").</w:t>
      </w:r>
    </w:p>
    <w:p>
      <w:pPr>
        <w:numPr>
          <w:ilvl w:val="0"/>
          <w:numId w:val="1012"/>
        </w:numPr>
        <w:pStyle w:val="Compact"/>
      </w:pPr>
      <w:r>
        <w:t xml:space="preserve">Geographic location of use is assumed to be Europe. European electricity grid mix average emission factor is approximated at 0.25 kgCO2e/kWh.</w:t>
      </w:r>
    </w:p>
    <w:p>
      <w:pPr>
        <w:pStyle w:val="FirstParagraph"/>
      </w:pPr>
      <w:r>
        <w:t xml:space="preserve">Use Phase Emissions:</w:t>
      </w:r>
      <w:r>
        <w:t xml:space="preserve"> </w:t>
      </w:r>
      <w:bookmarkStart w:id="38" w:name="use_phase_emissions"/>
      <w:bookmarkEnd w:id="38"/>
      <w:r>
        <w:t xml:space="preserve"> </w:t>
      </w:r>
      <w:r>
        <w:t xml:space="preserve">kg CO2e</w:t>
      </w:r>
    </w:p>
    <w:bookmarkEnd w:id="39"/>
    <w:bookmarkStart w:id="43" w:name="Xac8faad78128a5ec4298340ff70b88499018023"/>
    <w:p>
      <w:pPr>
        <w:pStyle w:val="Heading3"/>
      </w:pPr>
      <w:r>
        <w:t xml:space="preserve">2.5. End-of-Life (EoL) Treatment (Scope 3 - Downstream)</w:t>
      </w:r>
    </w:p>
    <w:p>
      <w:pPr>
        <w:numPr>
          <w:ilvl w:val="0"/>
          <w:numId w:val="1013"/>
        </w:numPr>
        <w:pStyle w:val="Compact"/>
      </w:pPr>
      <w:r>
        <w:t xml:space="preserve">Recyclability Percentage:</w:t>
      </w:r>
      <w:r>
        <w:t xml:space="preserve"> </w:t>
      </w:r>
      <w:r>
        <w:t xml:space="preserve">80%</w:t>
      </w:r>
      <w:r>
        <w:t xml:space="preserve"> </w:t>
      </w:r>
      <w:r>
        <w:t xml:space="preserve">(based on placeholder "hvtjyxzodd").</w:t>
      </w:r>
    </w:p>
    <w:p>
      <w:pPr>
        <w:numPr>
          <w:ilvl w:val="0"/>
          <w:numId w:val="1013"/>
        </w:numPr>
        <w:pStyle w:val="Compact"/>
      </w:pPr>
      <w:r>
        <w:t xml:space="preserve">Circular/Take-back Programs:</w:t>
      </w:r>
      <w:r>
        <w:t xml:space="preserve"> </w:t>
      </w:r>
      <w:r>
        <w:t xml:space="preserve">revzeksekn operates a take-back program for end-of-life products, facilitating material recovery.</w:t>
      </w:r>
      <w:r>
        <w:t xml:space="preserve"> </w:t>
      </w:r>
      <w:r>
        <w:t xml:space="preserve">(based on placeholder "dnrlelonzt").</w:t>
      </w:r>
    </w:p>
    <w:p>
      <w:pPr>
        <w:numPr>
          <w:ilvl w:val="0"/>
          <w:numId w:val="1013"/>
        </w:numPr>
        <w:pStyle w:val="Compact"/>
      </w:pPr>
      <w:r>
        <w:t xml:space="preserve">Credits are applied for recycled materials, reflecting avoided emissions from primary material production for the recycled portion.</w:t>
      </w:r>
    </w:p>
    <w:p>
      <w:pPr>
        <w:numPr>
          <w:ilvl w:val="0"/>
          <w:numId w:val="1013"/>
        </w:numPr>
        <w:pStyle w:val="Compact"/>
      </w:pPr>
      <w:r>
        <w:t xml:space="preserve">Disposal of non-recycled components (20%): Assumed to go to landfill with a small emission factor (0.5 kgCO2e/kg).</w:t>
      </w:r>
    </w:p>
    <w:p>
      <w:pPr>
        <w:pStyle w:val="FirstParagraph"/>
      </w:pPr>
      <w:r>
        <w:t xml:space="preserve">EoL Credits (Avoided Emissions from Recycling):</w:t>
      </w:r>
      <w:r>
        <w:t xml:space="preserve"> </w:t>
      </w:r>
      <w:bookmarkStart w:id="40" w:name="eol_credits"/>
      <w:bookmarkEnd w:id="40"/>
      <w:r>
        <w:t xml:space="preserve"> </w:t>
      </w:r>
      <w:r>
        <w:t xml:space="preserve">kg CO2e</w:t>
      </w:r>
    </w:p>
    <w:p>
      <w:pPr>
        <w:pStyle w:val="BodyText"/>
      </w:pPr>
      <w:r>
        <w:t xml:space="preserve">EoL Disposal Emissions:</w:t>
      </w:r>
      <w:r>
        <w:t xml:space="preserve"> </w:t>
      </w:r>
      <w:bookmarkStart w:id="41" w:name="eol_disposal_emissions"/>
      <w:bookmarkEnd w:id="41"/>
      <w:r>
        <w:t xml:space="preserve"> </w:t>
      </w:r>
      <w:r>
        <w:t xml:space="preserve">kg CO2e</w:t>
      </w:r>
    </w:p>
    <w:p>
      <w:pPr>
        <w:pStyle w:val="BodyText"/>
      </w:pPr>
      <w:r>
        <w:t xml:space="preserve">Net Carbon from End-of-Life:</w:t>
      </w:r>
      <w:r>
        <w:t xml:space="preserve"> </w:t>
      </w:r>
      <w:bookmarkStart w:id="42" w:name="net_eol_carbon"/>
      <w:bookmarkEnd w:id="42"/>
      <w:r>
        <w:t xml:space="preserve"> </w:t>
      </w:r>
      <w:r>
        <w:t xml:space="preserve">kg CO2e</w:t>
      </w:r>
    </w:p>
    <w:p>
      <w:r>
        <w:pict>
          <v:rect style="width:0;height:1.5pt" o:hralign="center" o:hrstd="t" o:hr="t"/>
        </w:pict>
      </w:r>
    </w:p>
    <w:bookmarkEnd w:id="43"/>
    <w:bookmarkEnd w:id="44"/>
    <w:bookmarkStart w:id="57" w:name="X439a6e6dcb43c636bf515ffaf3f59bce0bd6490"/>
    <w:p>
      <w:pPr>
        <w:pStyle w:val="Heading2"/>
      </w:pPr>
      <w:r>
        <w:t xml:space="preserve">3. Emission Calculation (Activity * Emission Factor = CO2e)</w:t>
      </w:r>
    </w:p>
    <w:p>
      <w:pPr>
        <w:pStyle w:val="FirstParagraph"/>
      </w:pPr>
      <w:r>
        <w:t xml:space="preserve">The carbon footprint is calculated by multiplying activity data (e.g., material quantity, energy consumption, transport distance) by corresponding emission factors. All calculations adhere to the GHG Protocol\'s scopes.</w:t>
      </w:r>
    </w:p>
    <w:bookmarkStart w:id="45" w:name="scope-1-emissions-direct-emissions"/>
    <w:p>
      <w:pPr>
        <w:pStyle w:val="Heading3"/>
      </w:pPr>
      <w:r>
        <w:t xml:space="preserve">3.1. Scope 1 Emissions (Direct Emissions)</w:t>
      </w:r>
    </w:p>
    <w:p>
      <w:pPr>
        <w:pStyle w:val="FirstParagraph"/>
      </w:pPr>
      <w:r>
        <w:t xml:space="preserve">For the manufacturing process of</w:t>
      </w:r>
      <w:r>
        <w:t xml:space="preserve"> </w:t>
      </w:r>
      <w:r>
        <w:t xml:space="preserve">kkmkzkhfox</w:t>
      </w:r>
      <w:r>
        <w:t xml:space="preserve">, direct emissions from company-owned or controlled sources (e.g., on-site combustion of fuels) are considered negligible in this analysis due to the nature of the placeholder data. Any significant direct process emissions would be captured here.</w:t>
      </w:r>
    </w:p>
    <w:p>
      <w:pPr>
        <w:pStyle w:val="BodyText"/>
      </w:pPr>
      <w:r>
        <w:t xml:space="preserve">Total Scope 1 Emissions: 0.00 kg CO2e</w:t>
      </w:r>
    </w:p>
    <w:bookmarkEnd w:id="45"/>
    <w:bookmarkStart w:id="48" w:name="scope-2-emissions-purchased-electricity"/>
    <w:p>
      <w:pPr>
        <w:pStyle w:val="Heading3"/>
      </w:pPr>
      <w:r>
        <w:t xml:space="preserve">3.2. Scope 2 Emissions (Purchased Electricity)</w:t>
      </w:r>
    </w:p>
    <w:p>
      <w:pPr>
        <w:pStyle w:val="FirstParagraph"/>
      </w:pPr>
      <w:r>
        <w:t xml:space="preserve">These emissions arise from the generation of purchased electricity consumed during the manufacturing phase.</w:t>
      </w:r>
    </w:p>
    <w:p>
      <w:pPr>
        <w:numPr>
          <w:ilvl w:val="0"/>
          <w:numId w:val="1014"/>
        </w:numPr>
        <w:pStyle w:val="Compact"/>
      </w:pPr>
      <w:r>
        <w:t xml:space="preserve">Manufacturing Energy: 10 kWh/unit</w:t>
      </w:r>
    </w:p>
    <w:p>
      <w:pPr>
        <w:numPr>
          <w:ilvl w:val="0"/>
          <w:numId w:val="1014"/>
        </w:numPr>
        <w:pStyle w:val="Compact"/>
      </w:pPr>
      <w:r>
        <w:t xml:space="preserve">Blended Emission Factor: 0.15 kgCO2e/kWh (reflecting 75% renewable usage and 25% Chinese grid electricity).</w:t>
      </w:r>
    </w:p>
    <w:p>
      <w:pPr>
        <w:numPr>
          <w:ilvl w:val="0"/>
          <w:numId w:val="1014"/>
        </w:numPr>
        <w:pStyle w:val="Compact"/>
      </w:pPr>
      <w:r>
        <w:t xml:space="preserve">Scope 2 Emissions = 10 kWh/unit * 0.15 kgCO2e/kWh =</w:t>
      </w:r>
      <w:r>
        <w:t xml:space="preserve"> </w:t>
      </w:r>
      <w:bookmarkStart w:id="46" w:name="scope2_emissions"/>
      <w:bookmarkEnd w:id="46"/>
      <w:r>
        <w:t xml:space="preserve"> </w:t>
      </w:r>
      <w:r>
        <w:t xml:space="preserve">kg CO2e</w:t>
      </w:r>
    </w:p>
    <w:p>
      <w:pPr>
        <w:pStyle w:val="FirstParagraph"/>
      </w:pPr>
      <w:r>
        <w:t xml:space="preserve">Total Scope 2 Emissions:</w:t>
      </w:r>
      <w:r>
        <w:t xml:space="preserve"> </w:t>
      </w:r>
      <w:bookmarkStart w:id="47" w:name="scope2_emissions_total"/>
      <w:bookmarkEnd w:id="47"/>
      <w:r>
        <w:t xml:space="preserve"> </w:t>
      </w:r>
      <w:r>
        <w:t xml:space="preserve">kg CO2e</w:t>
      </w:r>
    </w:p>
    <w:bookmarkEnd w:id="48"/>
    <w:bookmarkStart w:id="56" w:name="scope-3-emissions-value-chain-emissions"/>
    <w:p>
      <w:pPr>
        <w:pStyle w:val="Heading3"/>
      </w:pPr>
      <w:r>
        <w:t xml:space="preserve">3.3. Scope 3 Emissions (Value Chain Emissions)</w:t>
      </w:r>
    </w:p>
    <w:p>
      <w:pPr>
        <w:pStyle w:val="FirstParagraph"/>
      </w:pPr>
      <w:r>
        <w:t xml:space="preserve">Scope 3 emissions are typically the largest portion of a product\'s footprint, covering all indirect emissions not included in Scope 2. This analysis ensures</w:t>
      </w:r>
      <w:r>
        <w:t xml:space="preserve"> </w:t>
      </w:r>
      <w:r>
        <w:t xml:space="preserve">at least 95% coverage</w:t>
      </w:r>
      <w:r>
        <w:t xml:space="preserve"> </w:t>
      </w:r>
      <w:r>
        <w:t xml:space="preserve">for Scope 3 reporting, as per 2026 requirements, by including all material, transport, use, and end-of-life stages.</w:t>
      </w:r>
    </w:p>
    <w:p>
      <w:pPr>
        <w:numPr>
          <w:ilvl w:val="0"/>
          <w:numId w:val="1015"/>
        </w:numPr>
        <w:pStyle w:val="Compact"/>
      </w:pPr>
      <w:r>
        <w:rPr>
          <w:bCs/>
          <w:b/>
        </w:rPr>
        <w:t xml:space="preserve">Category 1: Purchased Goods and Services (Raw Materials)</w:t>
      </w:r>
    </w:p>
    <w:p>
      <w:pPr>
        <w:numPr>
          <w:ilvl w:val="0"/>
          <w:numId w:val="1015"/>
        </w:numPr>
        <w:pStyle w:val="Compact"/>
      </w:pPr>
    </w:p>
    <w:p>
      <w:pPr>
        <w:numPr>
          <w:ilvl w:val="1"/>
          <w:numId w:val="1016"/>
        </w:numPr>
        <w:pStyle w:val="Compact"/>
      </w:pPr>
      <w:r>
        <w:t xml:space="preserve">Total Carbon from Materials:</w:t>
      </w:r>
      <w:r>
        <w:t xml:space="preserve"> </w:t>
      </w:r>
      <w:bookmarkStart w:id="49" w:name="scope3_materials"/>
      <w:bookmarkEnd w:id="49"/>
      <w:r>
        <w:t xml:space="preserve"> </w:t>
      </w:r>
      <w:r>
        <w:t xml:space="preserve">kg CO2e (from Section 2.1)</w:t>
      </w:r>
    </w:p>
    <w:p>
      <w:pPr>
        <w:numPr>
          <w:ilvl w:val="0"/>
          <w:numId w:val="1015"/>
        </w:numPr>
        <w:pStyle w:val="Compact"/>
      </w:pPr>
      <w:r>
        <w:rPr>
          <w:bCs/>
          <w:b/>
        </w:rPr>
        <w:t xml:space="preserve">Category 4: Upstream Transportation and Distribution</w:t>
      </w:r>
    </w:p>
    <w:p>
      <w:pPr>
        <w:numPr>
          <w:ilvl w:val="0"/>
          <w:numId w:val="1015"/>
        </w:numPr>
        <w:pStyle w:val="Compact"/>
      </w:pPr>
    </w:p>
    <w:p>
      <w:pPr>
        <w:numPr>
          <w:ilvl w:val="1"/>
          <w:numId w:val="1017"/>
        </w:numPr>
        <w:pStyle w:val="Compact"/>
      </w:pPr>
      <w:r>
        <w:t xml:space="preserve">Inbound Transport Emissions:</w:t>
      </w:r>
      <w:r>
        <w:t xml:space="preserve"> </w:t>
      </w:r>
      <w:bookmarkStart w:id="50" w:name="scope3_inbound_transport"/>
      <w:bookmarkEnd w:id="50"/>
      <w:r>
        <w:t xml:space="preserve"> </w:t>
      </w:r>
      <w:r>
        <w:t xml:space="preserve">kg CO2e (from Section 2.3)</w:t>
      </w:r>
    </w:p>
    <w:p>
      <w:pPr>
        <w:numPr>
          <w:ilvl w:val="0"/>
          <w:numId w:val="1015"/>
        </w:numPr>
        <w:pStyle w:val="Compact"/>
      </w:pPr>
      <w:r>
        <w:rPr>
          <w:bCs/>
          <w:b/>
        </w:rPr>
        <w:t xml:space="preserve">Category 9: Downstream Transportation and Distribution</w:t>
      </w:r>
    </w:p>
    <w:p>
      <w:pPr>
        <w:numPr>
          <w:ilvl w:val="0"/>
          <w:numId w:val="1015"/>
        </w:numPr>
        <w:pStyle w:val="Compact"/>
      </w:pPr>
    </w:p>
    <w:p>
      <w:pPr>
        <w:numPr>
          <w:ilvl w:val="1"/>
          <w:numId w:val="1018"/>
        </w:numPr>
        <w:pStyle w:val="Compact"/>
      </w:pPr>
      <w:r>
        <w:t xml:space="preserve">Outbound Transport Emissions (main):</w:t>
      </w:r>
      <w:r>
        <w:t xml:space="preserve"> </w:t>
      </w:r>
      <w:bookmarkStart w:id="51" w:name="scope3_outbound_main"/>
      <w:bookmarkEnd w:id="51"/>
      <w:r>
        <w:t xml:space="preserve"> </w:t>
      </w:r>
      <w:r>
        <w:t xml:space="preserve">kg CO2e (from Section 2.3)</w:t>
      </w:r>
    </w:p>
    <w:p>
      <w:pPr>
        <w:numPr>
          <w:ilvl w:val="1"/>
          <w:numId w:val="1018"/>
        </w:numPr>
        <w:pStyle w:val="Compact"/>
      </w:pPr>
      <w:r>
        <w:t xml:space="preserve">Last-Mile Delivery Emissions:</w:t>
      </w:r>
      <w:r>
        <w:t xml:space="preserve"> </w:t>
      </w:r>
      <w:bookmarkStart w:id="52" w:name="scope3_last_mile"/>
      <w:bookmarkEnd w:id="52"/>
      <w:r>
        <w:t xml:space="preserve"> </w:t>
      </w:r>
      <w:r>
        <w:t xml:space="preserve">kg CO2e (from Section 2.3)</w:t>
      </w:r>
    </w:p>
    <w:p>
      <w:pPr>
        <w:numPr>
          <w:ilvl w:val="0"/>
          <w:numId w:val="1015"/>
        </w:numPr>
        <w:pStyle w:val="Compact"/>
      </w:pPr>
      <w:r>
        <w:rPr>
          <w:bCs/>
          <w:b/>
        </w:rPr>
        <w:t xml:space="preserve">Category 11: Use of Sold Products</w:t>
      </w:r>
    </w:p>
    <w:p>
      <w:pPr>
        <w:numPr>
          <w:ilvl w:val="0"/>
          <w:numId w:val="1015"/>
        </w:numPr>
        <w:pStyle w:val="Compact"/>
      </w:pPr>
    </w:p>
    <w:p>
      <w:pPr>
        <w:numPr>
          <w:ilvl w:val="1"/>
          <w:numId w:val="1019"/>
        </w:numPr>
        <w:pStyle w:val="Compact"/>
      </w:pPr>
      <w:r>
        <w:t xml:space="preserve">Use Phase Emissions:</w:t>
      </w:r>
      <w:r>
        <w:t xml:space="preserve"> </w:t>
      </w:r>
      <w:bookmarkStart w:id="53" w:name="scope3_use_phase"/>
      <w:bookmarkEnd w:id="53"/>
      <w:r>
        <w:t xml:space="preserve"> </w:t>
      </w:r>
      <w:r>
        <w:t xml:space="preserve">kg CO2e (from Section 2.4)</w:t>
      </w:r>
    </w:p>
    <w:p>
      <w:pPr>
        <w:numPr>
          <w:ilvl w:val="0"/>
          <w:numId w:val="1015"/>
        </w:numPr>
        <w:pStyle w:val="Compact"/>
      </w:pPr>
      <w:r>
        <w:rPr>
          <w:bCs/>
          <w:b/>
        </w:rPr>
        <w:t xml:space="preserve">Category 12: End-of-Life Treatment of Sold Products</w:t>
      </w:r>
    </w:p>
    <w:p>
      <w:pPr>
        <w:numPr>
          <w:ilvl w:val="0"/>
          <w:numId w:val="1015"/>
        </w:numPr>
        <w:pStyle w:val="Compact"/>
      </w:pPr>
    </w:p>
    <w:p>
      <w:pPr>
        <w:numPr>
          <w:ilvl w:val="1"/>
          <w:numId w:val="1020"/>
        </w:numPr>
        <w:pStyle w:val="Compact"/>
      </w:pPr>
      <w:r>
        <w:t xml:space="preserve">Net Carbon from End-of-Life:</w:t>
      </w:r>
      <w:r>
        <w:t xml:space="preserve"> </w:t>
      </w:r>
      <w:bookmarkStart w:id="54" w:name="scope3_eol_net"/>
      <w:bookmarkEnd w:id="54"/>
      <w:r>
        <w:t xml:space="preserve"> </w:t>
      </w:r>
      <w:r>
        <w:t xml:space="preserve">kg CO2e (from Section 2.5)</w:t>
      </w:r>
    </w:p>
    <w:p>
      <w:pPr>
        <w:pStyle w:val="FirstParagraph"/>
      </w:pPr>
      <w:r>
        <w:t xml:space="preserve">Total Scope 3 Emissions:</w:t>
      </w:r>
      <w:r>
        <w:t xml:space="preserve"> </w:t>
      </w:r>
      <w:bookmarkStart w:id="55" w:name="total_scope3_emissions"/>
      <w:bookmarkEnd w:id="55"/>
      <w:r>
        <w:t xml:space="preserve"> </w:t>
      </w:r>
      <w:r>
        <w:t xml:space="preserve">kg CO2e</w:t>
      </w:r>
    </w:p>
    <w:p>
      <w:r>
        <w:pict>
          <v:rect style="width:0;height:1.5pt" o:hralign="center" o:hrstd="t" o:hr="t"/>
        </w:pict>
      </w:r>
    </w:p>
    <w:bookmarkEnd w:id="56"/>
    <w:bookmarkEnd w:id="57"/>
    <w:bookmarkStart w:id="59" w:name="overall-product-carbon-footprint-pcf"/>
    <w:p>
      <w:pPr>
        <w:pStyle w:val="Heading2"/>
      </w:pPr>
      <w:r>
        <w:t xml:space="preserve">4. Overall Product Carbon Footprint (PCF)</w:t>
      </w:r>
    </w:p>
    <w:p>
      <w:pPr>
        <w:pStyle w:val="FirstParagraph"/>
      </w:pPr>
      <w:r>
        <w:t xml:space="preserve">The total Product Carbon Footprint for one functional unit of</w:t>
      </w:r>
      <w:r>
        <w:t xml:space="preserve"> </w:t>
      </w:r>
      <w:r>
        <w:t xml:space="preserve">kkmkzkhfox</w:t>
      </w:r>
      <w:r>
        <w:t xml:space="preserve"> </w:t>
      </w:r>
      <w:r>
        <w:t xml:space="preserve">is the sum of Scope 1, Scope 2, and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 CO2e / unit)</w:t>
            </w:r>
          </w:p>
        </w:tc>
      </w:tr>
      <w:tr>
        <w:tc>
          <w:tcPr/>
          <w:p>
            <w:pPr>
              <w:pStyle w:val="Compact"/>
              <w:jc w:val="left"/>
            </w:pPr>
            <w:r>
              <w:t xml:space="preserve">Scope 1 (Direct)</w:t>
            </w:r>
          </w:p>
        </w:tc>
        <w:tc>
          <w:tcPr/>
          <w:p>
            <w:pPr>
              <w:pStyle w:val="Compact"/>
              <w:jc w:val="left"/>
            </w:pPr>
            <w:r>
              <w:t xml:space="preserve">0.00</w:t>
            </w:r>
          </w:p>
        </w:tc>
      </w:tr>
      <w:tr>
        <w:tc>
          <w:tcPr/>
          <w:p>
            <w:pPr>
              <w:pStyle w:val="Compact"/>
              <w:jc w:val="left"/>
            </w:pPr>
            <w:r>
              <w:t xml:space="preserve">Scope 2 (Purchased Electricity)</w:t>
            </w:r>
          </w:p>
        </w:tc>
        <w:tc>
          <w:tcPr/>
          <w:p>
            <w:pPr>
              <w:pStyle w:val="Compact"/>
            </w:pPr>
          </w:p>
        </w:tc>
      </w:tr>
      <w:tr>
        <w:tc>
          <w:tcPr/>
          <w:p>
            <w:pPr>
              <w:pStyle w:val="Compact"/>
              <w:jc w:val="left"/>
            </w:pPr>
            <w:r>
              <w:t xml:space="preserve">Scope 3 (Value Chain)</w:t>
            </w:r>
          </w:p>
        </w:tc>
        <w:tc>
          <w:tcPr/>
          <w:p>
            <w:pPr>
              <w:pStyle w:val="Compact"/>
            </w:pPr>
          </w:p>
        </w:tc>
      </w:tr>
      <w:tr>
        <w:tc>
          <w:tcPr/>
          <w:p>
            <w:pPr>
              <w:pStyle w:val="Compact"/>
              <w:jc w:val="left"/>
            </w:pPr>
            <w:r>
              <w:t xml:space="preserve">Total PCF</w:t>
            </w:r>
          </w:p>
        </w:tc>
        <w:tc>
          <w:tcPr/>
          <w:p>
            <w:pPr>
              <w:pStyle w:val="Compact"/>
            </w:pPr>
          </w:p>
        </w:tc>
      </w:tr>
    </w:tbl>
    <w:bookmarkStart w:id="58" w:name="hotspots-analysis-and-reliability"/>
    <w:p>
      <w:pPr>
        <w:pStyle w:val="Heading3"/>
      </w:pPr>
      <w:r>
        <w:t xml:space="preserve">4.1. Hotspots Analysis and Reliability</w:t>
      </w:r>
    </w:p>
    <w:p>
      <w:pPr>
        <w:pStyle w:val="FirstParagraph"/>
      </w:pPr>
      <w:r>
        <w:t xml:space="preserve">The primary hotspots for the</w:t>
      </w:r>
      <w:r>
        <w:t xml:space="preserve"> </w:t>
      </w:r>
      <w:r>
        <w:t xml:space="preserve">kkmkzkhfox</w:t>
      </w:r>
      <w:r>
        <w:t xml:space="preserve"> </w:t>
      </w:r>
      <w:r>
        <w:t xml:space="preserve">product are identified as:</w:t>
      </w:r>
    </w:p>
    <w:p>
      <w:pPr>
        <w:numPr>
          <w:ilvl w:val="0"/>
          <w:numId w:val="1021"/>
        </w:numPr>
        <w:pStyle w:val="Compact"/>
      </w:pPr>
      <w:r>
        <w:t xml:space="preserve">Raw Materials:</w:t>
      </w:r>
      <w:r>
        <w:t xml:space="preserve"> </w:t>
      </w:r>
      <w:r>
        <w:t xml:space="preserve">Dominated by materials like Aluminium and Lithium-ion batteries due to their energy-intensive extraction and processing.</w:t>
      </w:r>
    </w:p>
    <w:p>
      <w:pPr>
        <w:numPr>
          <w:ilvl w:val="0"/>
          <w:numId w:val="1021"/>
        </w:numPr>
        <w:pStyle w:val="Compact"/>
      </w:pPr>
      <w:r>
        <w:t xml:space="preserve">Use Phase:</w:t>
      </w:r>
      <w:r>
        <w:t xml:space="preserve"> </w:t>
      </w:r>
      <w:r>
        <w:t xml:space="preserve">Continuous energy consumption over the 5-year lifespan significantly contributes, even with European grid electricity factors.</w:t>
      </w:r>
    </w:p>
    <w:p>
      <w:pPr>
        <w:numPr>
          <w:ilvl w:val="0"/>
          <w:numId w:val="1021"/>
        </w:numPr>
        <w:pStyle w:val="Compact"/>
      </w:pPr>
      <w:r>
        <w:t xml:space="preserve">Transportation:</w:t>
      </w:r>
      <w:r>
        <w:t xml:space="preserve"> </w:t>
      </w:r>
      <w:r>
        <w:t xml:space="preserve">Long-distance sea freight for both inbound and outbound logistics, while efficient per tonne-km, accumulates significant emissions over vast distances.</w:t>
      </w:r>
    </w:p>
    <w:p>
      <w:pPr>
        <w:pStyle w:val="FirstParagraph"/>
      </w:pPr>
      <w:r>
        <w:t xml:space="preserve">Reliability of this report is considered moderate to high, given the reliance on provided parameters and industry-representative emission factors. Increased accuracy could be achieved with primary data for all material sourcing, direct energy consumption from manufacturing facilities, and specific transport manifests. The placeholder nature of several input parameters (BOM, transport, energy, etc.) necessitates the use of generic, albeit reasonable, estimations.</w:t>
      </w:r>
    </w:p>
    <w:p>
      <w:r>
        <w:pict>
          <v:rect style="width:0;height:1.5pt" o:hralign="center" o:hrstd="t" o:hr="t"/>
        </w:pict>
      </w:r>
    </w:p>
    <w:bookmarkEnd w:id="58"/>
    <w:bookmarkEnd w:id="59"/>
    <w:bookmarkStart w:id="60" w:name="recommendations-for-emission-reduction"/>
    <w:p>
      <w:pPr>
        <w:pStyle w:val="Heading2"/>
      </w:pPr>
      <w:r>
        <w:t xml:space="preserve">5. Recommendations for Emission Reduction</w:t>
      </w:r>
    </w:p>
    <w:p>
      <w:pPr>
        <w:pStyle w:val="FirstParagraph"/>
      </w:pPr>
      <w:r>
        <w:t xml:space="preserve">Based on the PCF analysis,</w:t>
      </w:r>
      <w:r>
        <w:t xml:space="preserve"> </w:t>
      </w:r>
      <w:r>
        <w:t xml:space="preserve">revzeksekn</w:t>
      </w:r>
      <w:r>
        <w:t xml:space="preserve"> </w:t>
      </w:r>
      <w:r>
        <w:t xml:space="preserve">can focus on the following areas to reduce the environmental footprint of</w:t>
      </w:r>
      <w:r>
        <w:t xml:space="preserve"> </w:t>
      </w:r>
      <w:r>
        <w:t xml:space="preserve">kkmkzkhfox</w:t>
      </w:r>
      <w:r>
        <w:t xml:space="preserve">:</w:t>
      </w:r>
    </w:p>
    <w:p>
      <w:pPr>
        <w:numPr>
          <w:ilvl w:val="0"/>
          <w:numId w:val="1022"/>
        </w:numPr>
        <w:pStyle w:val="Compact"/>
      </w:pPr>
      <w:r>
        <w:rPr>
          <w:bCs/>
          <w:b/>
        </w:rPr>
        <w:t xml:space="preserve">Material Optimization:</w:t>
      </w:r>
      <w:r>
        <w:t xml:space="preserve"> </w:t>
      </w:r>
      <w:r>
        <w:t xml:space="preserve">Explore lightweighting, use of recycled content (beyond cardboard packaging), or alternative lower-carbon materials for the casing and internal components.</w:t>
      </w:r>
    </w:p>
    <w:p>
      <w:pPr>
        <w:numPr>
          <w:ilvl w:val="0"/>
          <w:numId w:val="1022"/>
        </w:numPr>
        <w:pStyle w:val="Compact"/>
      </w:pPr>
      <w:r>
        <w:rPr>
          <w:bCs/>
          <w:b/>
        </w:rPr>
        <w:t xml:space="preserve">Manufacturing Efficiency:</w:t>
      </w:r>
      <w:r>
        <w:t xml:space="preserve"> </w:t>
      </w:r>
      <w:r>
        <w:t xml:space="preserve">Further increase renewable energy procurement or on-site generation in production facilities. Optimize manufacturing processes to reduce energy intensity per unit.</w:t>
      </w:r>
    </w:p>
    <w:p>
      <w:pPr>
        <w:numPr>
          <w:ilvl w:val="0"/>
          <w:numId w:val="1022"/>
        </w:numPr>
        <w:pStyle w:val="Compact"/>
      </w:pPr>
      <w:r>
        <w:rPr>
          <w:bCs/>
          <w:b/>
        </w:rPr>
        <w:t xml:space="preserve">Logistics Optimization:</w:t>
      </w:r>
      <w:r>
        <w:t xml:space="preserve"> </w:t>
      </w:r>
      <w:r>
        <w:t xml:space="preserve">Investigate more efficient transport routes, consider modal shifts where feasible, and optimize freight loading. Collaborate with logistics partners committed to lower-emission fleets.</w:t>
      </w:r>
    </w:p>
    <w:p>
      <w:pPr>
        <w:numPr>
          <w:ilvl w:val="0"/>
          <w:numId w:val="1022"/>
        </w:numPr>
        <w:pStyle w:val="Compact"/>
      </w:pPr>
      <w:r>
        <w:rPr>
          <w:bCs/>
          <w:b/>
        </w:rPr>
        <w:t xml:space="preserve">Use Phase Efficiency:</w:t>
      </w:r>
      <w:r>
        <w:t xml:space="preserve"> </w:t>
      </w:r>
      <w:r>
        <w:t xml:space="preserve">Design for lower energy consumption during the product\'s lifespan. Educate users on energy-saving practices.</w:t>
      </w:r>
    </w:p>
    <w:p>
      <w:pPr>
        <w:numPr>
          <w:ilvl w:val="0"/>
          <w:numId w:val="1022"/>
        </w:numPr>
        <w:pStyle w:val="Compact"/>
      </w:pPr>
      <w:r>
        <w:rPr>
          <w:bCs/>
          <w:b/>
        </w:rPr>
        <w:t xml:space="preserve">End-of-Life &amp; Circularity:</w:t>
      </w:r>
      <w:r>
        <w:t xml:space="preserve"> </w:t>
      </w:r>
      <w:r>
        <w:t xml:space="preserve">Strengthen existing take-back programs and explore design-for-disassembly to improve material recovery rates. Investigate opportunities for remanufacturing or extensive component reuse.</w:t>
      </w:r>
    </w:p>
    <w:p>
      <w:r>
        <w:pict>
          <v:rect style="width:0;height:1.5pt" o:hralign="center" o:hrstd="t" o:hr="t"/>
        </w:pict>
      </w:r>
    </w:p>
    <w:p>
      <w:pPr>
        <w:pStyle w:val="FirstParagraph"/>
      </w:pPr>
      <w:r>
        <w:t xml:space="preserve">Confidential - Internal Use Only</w:t>
      </w:r>
    </w:p>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kkmkzkhfox</dc:title>
  <dc:creator/>
  <dc:description>Detailed Product Carbon Footprint (PCF) analysis report for kkmkzkhfox, conducted by Senior Sustainability Consultant jvytoqnqqr for revzeksekn, adhering to GHG Protocol standards and 2026 LSR update.</dc:description>
  <dc:language>en</dc:language>
  <cp:keywords/>
  <dcterms:created xsi:type="dcterms:W3CDTF">2026-07-15T20:06:05Z</dcterms:created>
  <dcterms:modified xsi:type="dcterms:W3CDTF">2026-07-15T20:06:05Z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