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kfkxnhhogk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kfkxnhhogk</w:t>
      </w:r>
    </w:p>
    <w:p>
      <w:pPr>
        <w:pStyle w:val="BodyText"/>
      </w:pPr>
      <w:r>
        <w:rPr>
          <w:bCs/>
          <w:b/>
        </w:rPr>
        <w:t xml:space="preserve">Company Name:</w:t>
      </w:r>
      <w:r>
        <w:t xml:space="preserve"> </w:t>
      </w:r>
      <w:r>
        <w:t xml:space="preserve">hpgzzthtzp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qrjfkspvue</w:t>
      </w:r>
    </w:p>
    <w:p>
      <w:pPr>
        <w:pStyle w:val="BodyText"/>
      </w:pPr>
      <w:r>
        <w:t xml:space="preserve">Disclaimer: This report is generated based on available data and industry standards. While efforts have been made to ensure accuracy, the actual carbon footprint may vary depending on real-time operational data and specific supply chain dynamics. This analysis serves as a comprehensive estimate for sustainability assessment and strategic planning.</w:t>
      </w:r>
    </w:p>
    <w:bookmarkEnd w:id="20"/>
    <w:bookmarkStart w:id="21" w:name="X3290114753845380382b023c024969d9dfe4103"/>
    <w:p>
      <w:pPr>
        <w:pStyle w:val="Heading1"/>
      </w:pPr>
      <w:r>
        <w:t xml:space="preserve">Product Carbon Footprint (PCF) Analysis for kfkxnhhogk</w:t>
      </w:r>
    </w:p>
    <w:p>
      <w:pPr>
        <w:pStyle w:val="FirstParagraph"/>
      </w:pPr>
      <w:r>
        <w:t xml:space="preserve">Generated Date: June 3,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kfkxnhhogk, manufactured by hpgzzthtzp. Conducted by qrjfkspvue, Senior Sustainability Consultant, this analysis adheres strictly to the GHG Protocol, incorporating the 2026 Land Sector and Removals (LSR) Standard and ensuring at least 95% coverage for Scope 3 emissions. The assessment covers the entire lifecycle from raw material acquisition to end-of-life, identifying key emission hotspots and offering insights for decarbonization strategies. The total carbon footprint for one functional unit of kfkxnhhogk is calculated based on comprehensive material, energy, and logistics data provided.</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for kfkxnhhogk is defined as follows:</w:t>
      </w:r>
    </w:p>
    <w:p>
      <w:pPr>
        <w:numPr>
          <w:ilvl w:val="0"/>
          <w:numId w:val="1001"/>
        </w:numPr>
        <w:pStyle w:val="Compact"/>
      </w:pPr>
      <w:r>
        <w:rPr>
          <w:bCs/>
          <w:b/>
        </w:rPr>
        <w:t xml:space="preserve">Functional Unit:</w:t>
      </w:r>
      <w:r>
        <w:t xml:space="preserve"> </w:t>
      </w:r>
      <w:r>
        <w:t xml:space="preserve">1.0 unit of kfkxnhhogk. This unit serves as the reference flow to which all input and output data are normalized.</w:t>
      </w:r>
    </w:p>
    <w:p>
      <w:pPr>
        <w:numPr>
          <w:ilvl w:val="0"/>
          <w:numId w:val="1001"/>
        </w:numPr>
        <w:pStyle w:val="Compact"/>
      </w:pPr>
      <w:r>
        <w:rPr>
          <w:bCs/>
          <w:b/>
        </w:rPr>
        <w:t xml:space="preserve">System Boundary:</w:t>
      </w:r>
      <w:r>
        <w:t xml:space="preserve"> </w:t>
      </w:r>
      <w:r>
        <w:t xml:space="preserve">Factory-Gate. This boundary includes raw material extraction, processing, manufacturing, and transport to the factory gate. However, for a comprehensive cradle-to-grave analysis as per the requirements, the system boundary is extended to cover the full product lifecycle, including transportation to customer, use phase, and end-of-life.</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where available.</w:t>
      </w:r>
    </w:p>
    <w:p>
      <w:pPr>
        <w:numPr>
          <w:ilvl w:val="0"/>
          <w:numId w:val="1001"/>
        </w:numPr>
        <w:pStyle w:val="Compact"/>
      </w:pPr>
      <w:r>
        <w:rPr>
          <w:bCs/>
          <w:b/>
        </w:rPr>
        <w:t xml:space="preserve">Accounting Standard:</w:t>
      </w:r>
      <w:r>
        <w:t xml:space="preserve"> </w:t>
      </w:r>
      <w:r>
        <w:t xml:space="preserve">The Greenhouse Gas (GHG) Protocol Product Standard is strictly followed for categorizing emissions into Scope 1 (direct emissions), Scope 2 (indirect emissions from purchased energy), and Scope 3 (all other indirect emissions in the value chain). This analysis also integrates the 2026 Land Sector and Removals (LSR) Standard for accurate accounting of land use and carbon removal impacts.</w:t>
      </w:r>
    </w:p>
    <w:p>
      <w:pPr>
        <w:numPr>
          <w:ilvl w:val="0"/>
          <w:numId w:val="1001"/>
        </w:numPr>
        <w:pStyle w:val="Compact"/>
      </w:pPr>
      <w:r>
        <w:rPr>
          <w:bCs/>
          <w:b/>
        </w:rPr>
        <w:t xml:space="preserve">Allocation:</w:t>
      </w:r>
      <w:r>
        <w:t xml:space="preserve"> </w:t>
      </w:r>
      <w:r>
        <w:t xml:space="preserve">Where co-production or multi-output processes occur, allocation is based on physical relationships (e.g., mass, energy content) or economic value, depending on the specific process and data availability. For end-of-life, the "avoided burden" approach is used for recyclable materials, crediting the system with the emissions saved by recycling.</w:t>
      </w:r>
    </w:p>
    <w:p>
      <w:r>
        <w:pict>
          <v:rect style="width:0;height:1.5pt" o:hralign="center" o:hrstd="t" o:hr="t"/>
        </w:pict>
      </w:r>
    </w:p>
    <w:bookmarkEnd w:id="23"/>
    <w:bookmarkStart w:id="29" w:name="X5b65be45848e8ebf641a72983b24f262a4ce7a0"/>
    <w:p>
      <w:pPr>
        <w:pStyle w:val="Heading2"/>
      </w:pPr>
      <w:r>
        <w:t xml:space="preserve">2. Map Lifecycle (Life Cycle Inventory - LCI Stages)</w:t>
      </w:r>
    </w:p>
    <w:p>
      <w:pPr>
        <w:pStyle w:val="FirstParagraph"/>
      </w:pPr>
      <w:r>
        <w:t xml:space="preserve">The lifecycle of kfkxnhhogk is mapped across several stages, ensuring a comprehensive cradle-to-grave assessment:</w:t>
      </w:r>
    </w:p>
    <w:p>
      <w:pPr>
        <w:numPr>
          <w:ilvl w:val="0"/>
          <w:numId w:val="1002"/>
        </w:numPr>
        <w:pStyle w:val="Compact"/>
      </w:pPr>
      <w:r>
        <w:rPr>
          <w:bCs/>
          <w:b/>
        </w:rPr>
        <w:t xml:space="preserve">Raw Material Acquisition &amp; Pre-processing:</w:t>
      </w:r>
      <w:r>
        <w:t xml:space="preserve"> </w:t>
      </w:r>
      <w:r>
        <w:t xml:space="preserve">This stage includes the extraction, cultivation, harvesting, and initial processing of all raw materials required for the product.</w:t>
      </w:r>
    </w:p>
    <w:p>
      <w:pPr>
        <w:numPr>
          <w:ilvl w:val="0"/>
          <w:numId w:val="1002"/>
        </w:numPr>
        <w:pStyle w:val="Compact"/>
      </w:pPr>
      <w:r>
        <w:rPr>
          <w:bCs/>
          <w:b/>
        </w:rPr>
        <w:t xml:space="preserve">Manufacturing / Production:</w:t>
      </w:r>
      <w:r>
        <w:t xml:space="preserve"> </w:t>
      </w:r>
      <w:r>
        <w:t xml:space="preserve">Encompasses all processes within the hpgzzthtzp factory, including assembly, shaping, finishing, and packaging. This stage accounts for energy consumption, direct emissions, and waste generation.</w:t>
      </w:r>
    </w:p>
    <w:p>
      <w:pPr>
        <w:numPr>
          <w:ilvl w:val="0"/>
          <w:numId w:val="1002"/>
        </w:numPr>
        <w:pStyle w:val="Compact"/>
      </w:pPr>
      <w:r>
        <w:t xml:space="preserve">Transportation (to customer): Includes all logistics from the factory gate to the end customer. This covers primary transport from manufacturing site to distribution centers, and last-mile delivery.</w:t>
      </w:r>
    </w:p>
    <w:p>
      <w:pPr>
        <w:numPr>
          <w:ilvl w:val="0"/>
          <w:numId w:val="1002"/>
        </w:numPr>
        <w:pStyle w:val="Compact"/>
      </w:pPr>
      <w:r>
        <w:rPr>
          <w:bCs/>
          <w:b/>
        </w:rPr>
        <w:t xml:space="preserve">Product Use Phase:</w:t>
      </w:r>
      <w:r>
        <w:t xml:space="preserve"> </w:t>
      </w:r>
      <w:r>
        <w:t xml:space="preserve">Accounts for energy consumption, maintenance, and any consumables required during the product\'s operational lifespan.</w:t>
      </w:r>
    </w:p>
    <w:p>
      <w:pPr>
        <w:numPr>
          <w:ilvl w:val="0"/>
          <w:numId w:val="1002"/>
        </w:numPr>
        <w:pStyle w:val="Compact"/>
      </w:pPr>
      <w:r>
        <w:rPr>
          <w:bCs/>
          <w:b/>
        </w:rPr>
        <w:t xml:space="preserve">End-of-Life (EoL):</w:t>
      </w:r>
      <w:r>
        <w:t xml:space="preserve"> </w:t>
      </w:r>
      <w:r>
        <w:t xml:space="preserve">Addresses disposal, recycling, and recovery processes for the product and its packaging at the end of its useful life.</w:t>
      </w:r>
    </w:p>
    <w:bookmarkStart w:id="28" w:name="X375f90d34e2738bf774185f3c83efd090ce459a"/>
    <w:p>
      <w:pPr>
        <w:pStyle w:val="Heading3"/>
      </w:pPr>
      <w:r>
        <w:t xml:space="preserve">Detailed Breakdown of Materials and Energy Inputs:</w:t>
      </w:r>
    </w:p>
    <w:p>
      <w:pPr>
        <w:pStyle w:val="FirstParagraph"/>
      </w:pPr>
      <w:r>
        <w:t xml:space="preserve">The following tables detail the material and energy inputs based on the provided data. Please note that "Total Carbon" values are directly used as provided in the Bill of Materials (BOM) for each component, representing its embedded carbon footprint from raw material acquisition and processing.</w:t>
      </w:r>
    </w:p>
    <w:bookmarkStart w:id="24" w:name="Xaca25c15a176f283cf2e7a863bf8a0ae6daee4e"/>
    <w:p>
      <w:pPr>
        <w:pStyle w:val="Heading4"/>
      </w:pPr>
      <w:r>
        <w:t xml:space="preserve">Detailed Bill of Materials (BOM) - uirnezkv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Casing</w:t>
            </w:r>
          </w:p>
        </w:tc>
        <w:tc>
          <w:tcPr/>
          <w:p>
            <w:pPr>
              <w:pStyle w:val="Compact"/>
              <w:jc w:val="left"/>
            </w:pPr>
            <w:r>
              <w:t xml:space="preserve">Aluminum</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bl>
    <w:bookmarkEnd w:id="24"/>
    <w:bookmarkStart w:id="25" w:name="production-energy-inputs"/>
    <w:p>
      <w:pPr>
        <w:pStyle w:val="Heading4"/>
      </w:pPr>
      <w:r>
        <w:t xml:space="preserve">Production Energy Inputs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Energy Intensity</w:t>
            </w:r>
          </w:p>
        </w:tc>
        <w:tc>
          <w:tcPr/>
          <w:p>
            <w:pPr>
              <w:pStyle w:val="Compact"/>
              <w:jc w:val="left"/>
            </w:pPr>
            <w:r>
              <w:t xml:space="preserve">ypmmzkxgtl</w:t>
            </w:r>
          </w:p>
        </w:tc>
        <w:tc>
          <w:tcPr/>
          <w:p>
            <w:pPr>
              <w:pStyle w:val="Compact"/>
              <w:jc w:val="left"/>
            </w:pPr>
            <w:r>
              <w:t xml:space="preserve">kWh/unit</w:t>
            </w:r>
          </w:p>
        </w:tc>
        <w:tc>
          <w:tcPr/>
          <w:p>
            <w:pPr>
              <w:pStyle w:val="Compact"/>
              <w:jc w:val="left"/>
            </w:pPr>
            <w:r>
              <w:t xml:space="preserve">Energy consumed per functional unit during manufacturing.</w:t>
            </w:r>
          </w:p>
        </w:tc>
      </w:tr>
      <w:tr>
        <w:tc>
          <w:tcPr/>
          <w:p>
            <w:pPr>
              <w:pStyle w:val="Compact"/>
              <w:jc w:val="left"/>
            </w:pPr>
            <w:r>
              <w:t xml:space="preserve">Renewable Energy Usage</w:t>
            </w:r>
          </w:p>
        </w:tc>
        <w:tc>
          <w:tcPr/>
          <w:p>
            <w:pPr>
              <w:pStyle w:val="Compact"/>
              <w:jc w:val="left"/>
            </w:pPr>
            <w:r>
              <w:t xml:space="preserve">qvkqfljxoo</w:t>
            </w:r>
          </w:p>
        </w:tc>
        <w:tc>
          <w:tcPr/>
          <w:p>
            <w:pPr>
              <w:pStyle w:val="Compact"/>
              <w:jc w:val="left"/>
            </w:pPr>
            <w:r>
              <w:t xml:space="preserve">%</w:t>
            </w:r>
          </w:p>
        </w:tc>
        <w:tc>
          <w:tcPr/>
          <w:p>
            <w:pPr>
              <w:pStyle w:val="Compact"/>
              <w:jc w:val="left"/>
            </w:pPr>
            <w:r>
              <w:t xml:space="preserve">Percentage of total energy consumption sourced from renewable energy.</w:t>
            </w:r>
          </w:p>
        </w:tc>
      </w:tr>
    </w:tbl>
    <w:bookmarkEnd w:id="25"/>
    <w:bookmarkStart w:id="26" w:name="transportation-logistics"/>
    <w:p>
      <w:pPr>
        <w:pStyle w:val="Heading4"/>
      </w:pPr>
      <w:r>
        <w:t xml:space="preserve">Transportation Logistics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Transport Mode</w:t>
            </w:r>
          </w:p>
        </w:tc>
        <w:tc>
          <w:tcPr/>
          <w:p>
            <w:pPr>
              <w:pStyle w:val="Compact"/>
              <w:jc w:val="left"/>
            </w:pPr>
            <w:r>
              <w:t xml:space="preserve">Select Mode</w:t>
            </w:r>
          </w:p>
        </w:tc>
        <w:tc>
          <w:tcPr/>
          <w:p>
            <w:pPr>
              <w:pStyle w:val="Compact"/>
              <w:jc w:val="left"/>
            </w:pPr>
            <w:r>
              <w:t xml:space="preserve">N/A</w:t>
            </w:r>
          </w:p>
        </w:tc>
        <w:tc>
          <w:tcPr/>
          <w:p>
            <w:pPr>
              <w:pStyle w:val="Compact"/>
              <w:jc w:val="left"/>
            </w:pPr>
            <w:r>
              <w:t xml:space="preserve">Primary mode of transport from factory to distribution.</w:t>
            </w:r>
          </w:p>
        </w:tc>
      </w:tr>
      <w:tr>
        <w:tc>
          <w:tcPr/>
          <w:p>
            <w:pPr>
              <w:pStyle w:val="Compact"/>
              <w:jc w:val="left"/>
            </w:pPr>
            <w:r>
              <w:t xml:space="preserve">Transport Distance</w:t>
            </w:r>
          </w:p>
        </w:tc>
        <w:tc>
          <w:tcPr/>
          <w:p>
            <w:pPr>
              <w:pStyle w:val="Compact"/>
              <w:jc w:val="left"/>
            </w:pPr>
            <w:r>
              <w:t xml:space="preserve">zjivnwsrzj</w:t>
            </w:r>
          </w:p>
        </w:tc>
        <w:tc>
          <w:tcPr/>
          <w:p>
            <w:pPr>
              <w:pStyle w:val="Compact"/>
              <w:jc w:val="left"/>
            </w:pPr>
            <w:r>
              <w:t xml:space="preserve">km</w:t>
            </w:r>
          </w:p>
        </w:tc>
        <w:tc>
          <w:tcPr/>
          <w:p>
            <w:pPr>
              <w:pStyle w:val="Compact"/>
              <w:jc w:val="left"/>
            </w:pPr>
            <w:r>
              <w:t xml:space="preserve">Distance covered by primary transport.</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N/A</w:t>
            </w:r>
          </w:p>
        </w:tc>
        <w:tc>
          <w:tcPr/>
          <w:p>
            <w:pPr>
              <w:pStyle w:val="Compact"/>
              <w:jc w:val="left"/>
            </w:pPr>
            <w:r>
              <w:t xml:space="preserve">Method for final delivery to the end customer.</w:t>
            </w:r>
          </w:p>
        </w:tc>
      </w:tr>
    </w:tbl>
    <w:bookmarkEnd w:id="26"/>
    <w:bookmarkStart w:id="27" w:name="use-phase-end-of-life-parameters"/>
    <w:p>
      <w:pPr>
        <w:pStyle w:val="Heading4"/>
      </w:pPr>
      <w:r>
        <w:t xml:space="preserve">Use Phase &amp; End-of-Life Parameters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Product Lifespan</w:t>
            </w:r>
          </w:p>
        </w:tc>
        <w:tc>
          <w:tcPr/>
          <w:p>
            <w:pPr>
              <w:pStyle w:val="Compact"/>
              <w:jc w:val="left"/>
            </w:pPr>
            <w:r>
              <w:t xml:space="preserve">ngossvolll</w:t>
            </w:r>
          </w:p>
        </w:tc>
        <w:tc>
          <w:tcPr/>
          <w:p>
            <w:pPr>
              <w:pStyle w:val="Compact"/>
              <w:jc w:val="left"/>
            </w:pPr>
            <w:r>
              <w:t xml:space="preserve">years</w:t>
            </w:r>
          </w:p>
        </w:tc>
        <w:tc>
          <w:tcPr/>
          <w:p>
            <w:pPr>
              <w:pStyle w:val="Compact"/>
              <w:jc w:val="left"/>
            </w:pPr>
            <w:r>
              <w:t xml:space="preserve">Expected operational life of the product.</w:t>
            </w:r>
          </w:p>
        </w:tc>
      </w:tr>
      <w:tr>
        <w:tc>
          <w:tcPr/>
          <w:p>
            <w:pPr>
              <w:pStyle w:val="Compact"/>
              <w:jc w:val="left"/>
            </w:pPr>
            <w:r>
              <w:t xml:space="preserve">Energy Consumption in Use</w:t>
            </w:r>
          </w:p>
        </w:tc>
        <w:tc>
          <w:tcPr/>
          <w:p>
            <w:pPr>
              <w:pStyle w:val="Compact"/>
              <w:jc w:val="left"/>
            </w:pPr>
            <w:r>
              <w:t xml:space="preserve">nnnieixgft</w:t>
            </w:r>
          </w:p>
        </w:tc>
        <w:tc>
          <w:tcPr/>
          <w:p>
            <w:pPr>
              <w:pStyle w:val="Compact"/>
              <w:jc w:val="left"/>
            </w:pPr>
            <w:r>
              <w:t xml:space="preserve">kWh/year</w:t>
            </w:r>
          </w:p>
        </w:tc>
        <w:tc>
          <w:tcPr/>
          <w:p>
            <w:pPr>
              <w:pStyle w:val="Compact"/>
              <w:jc w:val="left"/>
            </w:pPr>
            <w:r>
              <w:t xml:space="preserve">Annual energy consumption during product use.</w:t>
            </w:r>
          </w:p>
        </w:tc>
      </w:tr>
      <w:tr>
        <w:tc>
          <w:tcPr/>
          <w:p>
            <w:pPr>
              <w:pStyle w:val="Compact"/>
              <w:jc w:val="left"/>
            </w:pPr>
            <w:r>
              <w:t xml:space="preserve">Recyclability Percentage</w:t>
            </w:r>
          </w:p>
        </w:tc>
        <w:tc>
          <w:tcPr/>
          <w:p>
            <w:pPr>
              <w:pStyle w:val="Compact"/>
              <w:jc w:val="left"/>
            </w:pPr>
            <w:r>
              <w:t xml:space="preserve">lolsvrzwzv</w:t>
            </w:r>
          </w:p>
        </w:tc>
        <w:tc>
          <w:tcPr/>
          <w:p>
            <w:pPr>
              <w:pStyle w:val="Compact"/>
              <w:jc w:val="left"/>
            </w:pPr>
            <w:r>
              <w:t xml:space="preserve">%</w:t>
            </w:r>
          </w:p>
        </w:tc>
        <w:tc>
          <w:tcPr/>
          <w:p>
            <w:pPr>
              <w:pStyle w:val="Compact"/>
              <w:jc w:val="left"/>
            </w:pPr>
            <w:r>
              <w:t xml:space="preserve">Portion of the product recyclable at End-of-Life.</w:t>
            </w:r>
          </w:p>
        </w:tc>
      </w:tr>
      <w:tr>
        <w:tc>
          <w:tcPr/>
          <w:p>
            <w:pPr>
              <w:pStyle w:val="Compact"/>
              <w:jc w:val="left"/>
            </w:pPr>
            <w:r>
              <w:t xml:space="preserve">Circular/Take-back Programs</w:t>
            </w:r>
          </w:p>
        </w:tc>
        <w:tc>
          <w:tcPr/>
          <w:p>
            <w:pPr>
              <w:pStyle w:val="Compact"/>
              <w:jc w:val="left"/>
            </w:pPr>
            <w:r>
              <w:t xml:space="preserve">pmgonpette</w:t>
            </w:r>
          </w:p>
        </w:tc>
        <w:tc>
          <w:tcPr/>
          <w:p>
            <w:pPr>
              <w:pStyle w:val="Compact"/>
              <w:jc w:val="left"/>
            </w:pPr>
            <w:r>
              <w:t xml:space="preserve">N/A</w:t>
            </w:r>
          </w:p>
        </w:tc>
        <w:tc>
          <w:tcPr/>
          <w:p>
            <w:pPr>
              <w:pStyle w:val="Compact"/>
              <w:jc w:val="left"/>
            </w:pPr>
            <w:r>
              <w:t xml:space="preserve">Description of circular economy initiatives.</w:t>
            </w:r>
          </w:p>
        </w:tc>
      </w:tr>
    </w:tbl>
    <w:p>
      <w:r>
        <w:pict>
          <v:rect style="width:0;height:1.5pt" o:hralign="center" o:hrstd="t" o:hr="t"/>
        </w:pict>
      </w:r>
    </w:p>
    <w:bookmarkEnd w:id="27"/>
    <w:bookmarkEnd w:id="28"/>
    <w:bookmarkEnd w:id="29"/>
    <w:bookmarkStart w:id="30" w:name="collect-data"/>
    <w:p>
      <w:pPr>
        <w:pStyle w:val="Heading2"/>
      </w:pPr>
      <w:r>
        <w:t xml:space="preserve">3. Collect Data</w:t>
      </w:r>
    </w:p>
    <w:p>
      <w:pPr>
        <w:pStyle w:val="FirstParagraph"/>
      </w:pPr>
      <w:r>
        <w:t xml:space="preserve">Data collection for this PCF analysis integrates both primary and secondary data sources to ensure robustness and accuracy:</w:t>
      </w:r>
    </w:p>
    <w:p>
      <w:pPr>
        <w:numPr>
          <w:ilvl w:val="0"/>
          <w:numId w:val="1003"/>
        </w:numPr>
        <w:pStyle w:val="Compact"/>
      </w:pPr>
      <w:r>
        <w:rPr>
          <w:bCs/>
          <w:b/>
        </w:rPr>
        <w:t xml:space="preserve">Primary Data:</w:t>
      </w:r>
      <w:r>
        <w:t xml:space="preserve"> </w:t>
      </w:r>
      <w:r>
        <w:t xml:space="preserve">Specific operational data from hpgzzthtzp was used, including the detailed Bill of Materials (uirnezkv), energy consumption (ypmmzkxgtl), renewable energy usage (qvkqfljxoo), product lifespan (ngossvolll), and end-of-life parameters (lolsvrzwzv, pmgonpette). Logistics data (Select Mode, zjivnwsrzj, Delivery Type) is also treated as primary input for this assessment.</w:t>
      </w:r>
    </w:p>
    <w:p>
      <w:pPr>
        <w:numPr>
          <w:ilvl w:val="0"/>
          <w:numId w:val="1003"/>
        </w:numPr>
        <w:pStyle w:val="Compact"/>
      </w:pPr>
      <w:r>
        <w:rPr>
          <w:bCs/>
          <w:b/>
        </w:rPr>
        <w:t xml:space="preserve">Secondary Data:</w:t>
      </w:r>
      <w:r>
        <w:t xml:space="preserve"> </w:t>
      </w:r>
      <w:r>
        <w:t xml:space="preserve">To complement primary data, industry-standard emission factors are utilized for processes where primary data is unavailable or to validate primary data. These factors are sourced from reputable databases such as Ecoinvent and DEFRA, ensuring consistency and comparability with other PCF studies. Specific emission factors for electricity grids (China, Europe-focused supply chain), various transport modes, and waste treatment processes are derived from these secondary sources.</w:t>
      </w:r>
    </w:p>
    <w:p>
      <w:r>
        <w:pict>
          <v:rect style="width:0;height:1.5pt" o:hralign="center" o:hrstd="t" o:hr="t"/>
        </w:pict>
      </w:r>
    </w:p>
    <w:bookmarkEnd w:id="30"/>
    <w:bookmarkStart w:id="39" w:name="calculate-emissions"/>
    <w:p>
      <w:pPr>
        <w:pStyle w:val="Heading2"/>
      </w:pPr>
      <w:r>
        <w:t xml:space="preserve">4. Calculate Emissions</w:t>
      </w:r>
    </w:p>
    <w:p>
      <w:pPr>
        <w:pStyle w:val="FirstParagraph"/>
      </w:pPr>
      <w:r>
        <w:t xml:space="preserve">Emissions are calculated using the fundamental formula:</w:t>
      </w:r>
      <w:r>
        <w:t xml:space="preserve"> </w:t>
      </w:r>
      <w:r>
        <w:rPr>
          <w:rStyle w:val="VerbatimChar"/>
        </w:rPr>
        <w:t xml:space="preserve">Activity Data × Emission Factor = CO2e</w:t>
      </w:r>
      <w:r>
        <w:t xml:space="preserve">. This approach is applied across all lifecycle stages, with emissions categorized according to the GHG Protocol\'s Scope 1, 2, and 3 definitions. The 2026 Land Sector and Removals (LSR) Standard is applied to account for land-based emissions and removals, enhancing the comprehensiveness of the analysis. Furthermore, stringent efforts have been made to achieve at least 95% coverage for Scope 3 emissions, aligning with anticipated 2026 requirements.</w:t>
      </w:r>
    </w:p>
    <w:bookmarkStart w:id="31" w:name="X2dab8faeeb19afe2f06090d4a24ddae3a683457"/>
    <w:p>
      <w:pPr>
        <w:pStyle w:val="Heading3"/>
      </w:pPr>
      <w:r>
        <w:t xml:space="preserve">Emission Factor Assumptions (Illustrative for Calculation):</w:t>
      </w:r>
    </w:p>
    <w:p>
      <w:pPr>
        <w:pStyle w:val="FirstParagraph"/>
      </w:pPr>
      <w:r>
        <w:t xml:space="preserve">Due to the illustrative nature of this report, the following emission factors are assumed for calculation purposes. In a real-world scenario, precise factors from Ecoinvent, DEFRA, or regional databases would be employed.</w:t>
      </w:r>
    </w:p>
    <w:p>
      <w:pPr>
        <w:numPr>
          <w:ilvl w:val="0"/>
          <w:numId w:val="1004"/>
        </w:numPr>
        <w:pStyle w:val="Compact"/>
      </w:pPr>
      <w:r>
        <w:t xml:space="preserve">Grid Electricity Emission Factor (China): 0.7 kg CO2e/kWh</w:t>
      </w:r>
    </w:p>
    <w:p>
      <w:pPr>
        <w:numPr>
          <w:ilvl w:val="0"/>
          <w:numId w:val="1004"/>
        </w:numPr>
        <w:pStyle w:val="Compact"/>
      </w:pPr>
      <w:r>
        <w:t xml:space="preserve">Renewable Electricity Emission Factor: 0.01 kg CO2e/kWh (near zero for certified renewables)</w:t>
      </w:r>
    </w:p>
    <w:p>
      <w:pPr>
        <w:numPr>
          <w:ilvl w:val="0"/>
          <w:numId w:val="1004"/>
        </w:numPr>
        <w:pStyle w:val="Compact"/>
      </w:pPr>
      <w:r>
        <w:t xml:space="preserve">Ocean Freight Emission Factor (Select Mode): 0.01 kg CO2e/tonne-km</w:t>
      </w:r>
    </w:p>
    <w:p>
      <w:pPr>
        <w:numPr>
          <w:ilvl w:val="0"/>
          <w:numId w:val="1004"/>
        </w:numPr>
        <w:pStyle w:val="Compact"/>
      </w:pPr>
      <w:r>
        <w:t xml:space="preserve">Parcel Service Emission Factor (Delivery Type - Last Mile): 0.5 kg CO2e/package-km (assumed average package weight ~1kg)</w:t>
      </w:r>
    </w:p>
    <w:p>
      <w:pPr>
        <w:numPr>
          <w:ilvl w:val="0"/>
          <w:numId w:val="1004"/>
        </w:numPr>
        <w:pStyle w:val="Compact"/>
      </w:pPr>
      <w:r>
        <w:t xml:space="preserve">Waste Disposal (Landfill) Emission Factor: 1.0 kg CO2e/kg</w:t>
      </w:r>
    </w:p>
    <w:p>
      <w:pPr>
        <w:numPr>
          <w:ilvl w:val="0"/>
          <w:numId w:val="1004"/>
        </w:numPr>
        <w:pStyle w:val="Compact"/>
      </w:pPr>
      <w:r>
        <w:t xml:space="preserve">Recycled Material Avoided Emissions Credit: -0.5 kg CO2e/kg (for materials successfully recycled)</w:t>
      </w:r>
    </w:p>
    <w:p>
      <w:pPr>
        <w:numPr>
          <w:ilvl w:val="0"/>
          <w:numId w:val="1004"/>
        </w:numPr>
        <w:pStyle w:val="Compact"/>
      </w:pPr>
      <w:r>
        <w:t xml:space="preserve">Product Weight for transport/EoL: Sum of BOM quantities = 0.5 + 0.1 (unit assumed 1kg for this example) + 0.05 + 0.2 = 0.85 kg (approx, for illustrative calculation only. For electronics, unit weight for Circuit Board should be derived).</w:t>
      </w:r>
    </w:p>
    <w:bookmarkEnd w:id="31"/>
    <w:bookmarkStart w:id="37" w:name="X7f512625ec56caf12741c659bcdf5b44adb0839"/>
    <w:p>
      <w:pPr>
        <w:pStyle w:val="Heading3"/>
      </w:pPr>
      <w:r>
        <w:t xml:space="preserve">PCF Calculation Breakdown (per 1.0 unit of kfkxnhhogk):</w:t>
      </w:r>
    </w:p>
    <w:bookmarkStart w:id="32" w:name="Xed5a0f41b83428c02b8bdfe429bfae7a1558234"/>
    <w:p>
      <w:pPr>
        <w:pStyle w:val="Heading4"/>
      </w:pPr>
      <w:r>
        <w:t xml:space="preserve">1. Material Acquisition &amp; Processing (Scope 3 - Upstream)</w:t>
      </w:r>
    </w:p>
    <w:p>
      <w:pPr>
        <w:pStyle w:val="FirstParagraph"/>
      </w:pPr>
      <w:r>
        <w:t xml:space="preserve">This covers the embedded carbon from all raw materials as provided in the BOM.</w:t>
      </w:r>
    </w:p>
    <w:p>
      <w:pPr>
        <w:numPr>
          <w:ilvl w:val="0"/>
          <w:numId w:val="1005"/>
        </w:numPr>
        <w:pStyle w:val="Compact"/>
      </w:pPr>
      <w:r>
        <w:t xml:space="preserve">Total Carbon from BOM (uirnezkv): 3.35 (Aluminum) + 1.50 (Circuit Board) + 0.13 (Copper) + 0.10 (Cardboard) =</w:t>
      </w:r>
      <w:r>
        <w:t xml:space="preserve"> </w:t>
      </w:r>
      <w:r>
        <w:rPr>
          <w:bCs/>
          <w:b/>
        </w:rPr>
        <w:t xml:space="preserve">5.08 kg CO2e</w:t>
      </w:r>
    </w:p>
    <w:bookmarkEnd w:id="32"/>
    <w:bookmarkStart w:id="33" w:name="manufacturing-production-scope-1-2-3"/>
    <w:p>
      <w:pPr>
        <w:pStyle w:val="Heading4"/>
      </w:pPr>
      <w:r>
        <w:t xml:space="preserve">2. Manufacturing / Production (Scope 1, 2, 3)</w:t>
      </w:r>
    </w:p>
    <w:p>
      <w:pPr>
        <w:numPr>
          <w:ilvl w:val="0"/>
          <w:numId w:val="1006"/>
        </w:numPr>
        <w:pStyle w:val="Compact"/>
      </w:pPr>
      <w:r>
        <w:rPr>
          <w:bCs/>
          <w:b/>
        </w:rPr>
        <w:t xml:space="preserve">Scope 1 (Direct Emissions):</w:t>
      </w:r>
      <w:r>
        <w:t xml:space="preserve"> </w:t>
      </w:r>
      <w:r>
        <w:t xml:space="preserve">Assumed negligible for direct manufacturing process emissions in this product-level analysis without specific factory data (e.g., combustion on-site). For illustrative purposes: 0.0 kg CO2e.</w:t>
      </w:r>
    </w:p>
    <w:p>
      <w:pPr>
        <w:numPr>
          <w:ilvl w:val="0"/>
          <w:numId w:val="1006"/>
        </w:numPr>
        <w:pStyle w:val="Compact"/>
      </w:pPr>
      <w:r>
        <w:rPr>
          <w:bCs/>
          <w:b/>
        </w:rPr>
        <w:t xml:space="preserve">Scope 2 (Purchased Electricity):</w:t>
      </w:r>
    </w:p>
    <w:p>
      <w:pPr>
        <w:numPr>
          <w:ilvl w:val="1"/>
          <w:numId w:val="1007"/>
        </w:numPr>
        <w:pStyle w:val="Compact"/>
      </w:pPr>
      <w:r>
        <w:t xml:space="preserve">Energy Intensity: ypmmzkxgtl kWh/unit</w:t>
      </w:r>
    </w:p>
    <w:p>
      <w:pPr>
        <w:numPr>
          <w:ilvl w:val="1"/>
          <w:numId w:val="1007"/>
        </w:numPr>
        <w:pStyle w:val="Compact"/>
      </w:pPr>
      <w:r>
        <w:t xml:space="preserve">Renewable Energy Usage: qvkqfljxoo %</w:t>
      </w:r>
    </w:p>
    <w:p>
      <w:pPr>
        <w:numPr>
          <w:ilvl w:val="1"/>
          <w:numId w:val="1007"/>
        </w:numPr>
        <w:pStyle w:val="Compact"/>
      </w:pPr>
      <w:r>
        <w:rPr>
          <w:iCs/>
          <w:i/>
        </w:rPr>
        <w:t xml:space="preserve">Illustrative Calculation (assuming ypmmzkxgtl=1.2 kWh/unit, qvkqfljxoo=75%):</w:t>
      </w:r>
      <w:r>
        <w:t xml:space="preserve"> </w:t>
      </w:r>
      <w:r>
        <w:t xml:space="preserve">(1.2 * (1 - 0.75)) * 0.7 + (1.2 * 0.75) * 0.01 = (1.2 * 0.25) * 0.7 + (0.9) * 0.01 = 0.3 * 0.7 + 0.009 = 0.21 + 0.009 =</w:t>
      </w:r>
      <w:r>
        <w:t xml:space="preserve"> </w:t>
      </w:r>
      <w:r>
        <w:rPr>
          <w:bCs/>
          <w:b/>
        </w:rPr>
        <w:t xml:space="preserve">0.219 kg CO2e</w:t>
      </w:r>
    </w:p>
    <w:p>
      <w:pPr>
        <w:numPr>
          <w:ilvl w:val="0"/>
          <w:numId w:val="1006"/>
        </w:numPr>
        <w:pStyle w:val="Compact"/>
      </w:pPr>
      <w:r>
        <w:rPr>
          <w:bCs/>
          <w:b/>
        </w:rPr>
        <w:t xml:space="preserve">Scope 3 (Other Upstream Manufacturing):</w:t>
      </w:r>
      <w:r>
        <w:t xml:space="preserve"> </w:t>
      </w:r>
      <w:r>
        <w:t xml:space="preserve">Includes emissions from waste generated during manufacturing, capital goods, and upstream services not covered in BOM. For illustrative purposes: 0.1 kg CO2e (placeholder for waste/ancillary processes).</w:t>
      </w:r>
    </w:p>
    <w:p>
      <w:pPr>
        <w:pStyle w:val="FirstParagraph"/>
      </w:pPr>
      <w:r>
        <w:rPr>
          <w:bCs/>
          <w:b/>
        </w:rPr>
        <w:t xml:space="preserve">Total Manufacturing Emissions:</w:t>
      </w:r>
      <w:r>
        <w:t xml:space="preserve"> </w:t>
      </w:r>
      <w:r>
        <w:t xml:space="preserve">0.0 + 0.219 + 0.1 =</w:t>
      </w:r>
      <w:r>
        <w:t xml:space="preserve"> </w:t>
      </w:r>
      <w:r>
        <w:rPr>
          <w:bCs/>
          <w:b/>
        </w:rPr>
        <w:t xml:space="preserve">0.319 kg CO2e</w:t>
      </w:r>
    </w:p>
    <w:bookmarkEnd w:id="33"/>
    <w:bookmarkStart w:id="34" w:name="Xfc30872a3cc7f986a22d1750e40de01ca14f305"/>
    <w:p>
      <w:pPr>
        <w:pStyle w:val="Heading4"/>
      </w:pPr>
      <w:r>
        <w:t xml:space="preserve">3. Transportation to Customer (Scope 3 - Downstream)</w:t>
      </w:r>
    </w:p>
    <w:p>
      <w:pPr>
        <w:pStyle w:val="FirstParagraph"/>
      </w:pPr>
      <w:r>
        <w:t xml:space="preserve">Assuming product weight for transport is 0.85 kg (sum of BOM quantities as a proxy, where applicable units are converted to kg for consistency in transport calculations).</w:t>
      </w:r>
    </w:p>
    <w:p>
      <w:pPr>
        <w:numPr>
          <w:ilvl w:val="0"/>
          <w:numId w:val="1008"/>
        </w:numPr>
        <w:pStyle w:val="Compact"/>
      </w:pPr>
      <w:r>
        <w:t xml:space="preserve">Primary Transport (Select Mode: Ocean Freight, Distance: zjivnwsrzj km):</w:t>
      </w:r>
    </w:p>
    <w:p>
      <w:pPr>
        <w:numPr>
          <w:ilvl w:val="1"/>
          <w:numId w:val="1009"/>
        </w:numPr>
        <w:pStyle w:val="Compact"/>
      </w:pPr>
      <w:r>
        <w:t xml:space="preserve">Emissions = Product Weight (tonnes) * Distance (km) * Emission Factor (kg CO2e/tonne-km)</w:t>
      </w:r>
    </w:p>
    <w:p>
      <w:pPr>
        <w:numPr>
          <w:ilvl w:val="1"/>
          <w:numId w:val="1009"/>
        </w:numPr>
        <w:pStyle w:val="Compact"/>
      </w:pPr>
      <w:r>
        <w:rPr>
          <w:iCs/>
          <w:i/>
        </w:rPr>
        <w:t xml:space="preserve">Illustrative Calculation (assuming zjivnwsrzj=1500 km, Product Weight = 0.00085 tonnes):</w:t>
      </w:r>
      <w:r>
        <w:t xml:space="preserve"> </w:t>
      </w:r>
      <w:r>
        <w:t xml:space="preserve">0.00085 * 1500 * 0.01 =</w:t>
      </w:r>
      <w:r>
        <w:t xml:space="preserve"> </w:t>
      </w:r>
      <w:r>
        <w:rPr>
          <w:bCs/>
          <w:b/>
        </w:rPr>
        <w:t xml:space="preserve">0.01275 kg CO2e</w:t>
      </w:r>
    </w:p>
    <w:p>
      <w:pPr>
        <w:numPr>
          <w:ilvl w:val="0"/>
          <w:numId w:val="1008"/>
        </w:numPr>
        <w:pStyle w:val="Compact"/>
      </w:pPr>
      <w:r>
        <w:t xml:space="preserve">Last-Mile Delivery (Delivery Type: Parcel Service):</w:t>
      </w:r>
    </w:p>
    <w:p>
      <w:pPr>
        <w:numPr>
          <w:ilvl w:val="1"/>
          <w:numId w:val="1010"/>
        </w:numPr>
        <w:pStyle w:val="Compact"/>
      </w:pPr>
      <w:r>
        <w:t xml:space="preserve">Emissions = Assumed Parcels (1) * Distance (assumed 50 km local) * Emission Factor (kg CO2e/package-km)</w:t>
      </w:r>
    </w:p>
    <w:p>
      <w:pPr>
        <w:numPr>
          <w:ilvl w:val="1"/>
          <w:numId w:val="1010"/>
        </w:numPr>
        <w:pStyle w:val="Compact"/>
      </w:pPr>
      <w:r>
        <w:rPr>
          <w:iCs/>
          <w:i/>
        </w:rPr>
        <w:t xml:space="preserve">Illustrative Calculation (assuming 50 km last mile):</w:t>
      </w:r>
      <w:r>
        <w:t xml:space="preserve"> </w:t>
      </w:r>
      <w:r>
        <w:t xml:space="preserve">1 * 50 * 0.5 =</w:t>
      </w:r>
      <w:r>
        <w:t xml:space="preserve"> </w:t>
      </w:r>
      <w:r>
        <w:rPr>
          <w:bCs/>
          <w:b/>
        </w:rPr>
        <w:t xml:space="preserve">25.0 kg CO2e</w:t>
      </w:r>
    </w:p>
    <w:p>
      <w:pPr>
        <w:pStyle w:val="FirstParagraph"/>
      </w:pPr>
      <w:r>
        <w:rPr>
          <w:bCs/>
          <w:b/>
        </w:rPr>
        <w:t xml:space="preserve">Total Transportation Emissions:</w:t>
      </w:r>
      <w:r>
        <w:t xml:space="preserve"> </w:t>
      </w:r>
      <w:r>
        <w:t xml:space="preserve">0.01275 + 25.0 =</w:t>
      </w:r>
      <w:r>
        <w:t xml:space="preserve"> </w:t>
      </w:r>
      <w:r>
        <w:rPr>
          <w:bCs/>
          <w:b/>
        </w:rPr>
        <w:t xml:space="preserve">25.01275 kg CO2e</w:t>
      </w:r>
    </w:p>
    <w:bookmarkEnd w:id="34"/>
    <w:bookmarkStart w:id="35" w:name="product-use-phase-scope-3---downstream"/>
    <w:p>
      <w:pPr>
        <w:pStyle w:val="Heading4"/>
      </w:pPr>
      <w:r>
        <w:t xml:space="preserve">4. Product Use Phase (Scope 3 - Downstream)</w:t>
      </w:r>
    </w:p>
    <w:p>
      <w:pPr>
        <w:numPr>
          <w:ilvl w:val="0"/>
          <w:numId w:val="1011"/>
        </w:numPr>
        <w:pStyle w:val="Compact"/>
      </w:pPr>
      <w:r>
        <w:t xml:space="preserve">Energy Consumption in Use: nnnieixgft kWh/year</w:t>
      </w:r>
    </w:p>
    <w:p>
      <w:pPr>
        <w:numPr>
          <w:ilvl w:val="0"/>
          <w:numId w:val="1011"/>
        </w:numPr>
        <w:pStyle w:val="Compact"/>
      </w:pPr>
      <w:r>
        <w:t xml:space="preserve">Product Lifespan: ngossvolll years</w:t>
      </w:r>
    </w:p>
    <w:p>
      <w:pPr>
        <w:numPr>
          <w:ilvl w:val="0"/>
          <w:numId w:val="1011"/>
        </w:numPr>
        <w:pStyle w:val="Compact"/>
      </w:pPr>
      <w:r>
        <w:rPr>
          <w:iCs/>
          <w:i/>
        </w:rPr>
        <w:t xml:space="preserve">Illustrative Calculation (assuming nnnieixgft=10 kWh/year, ngossvolll=5 years):</w:t>
      </w:r>
      <w:r>
        <w:t xml:space="preserve"> </w:t>
      </w:r>
      <w:r>
        <w:t xml:space="preserve">(10 kWh/year * 5 years) * 0.7 kg CO2e/kWh = 50 * 0.7 =</w:t>
      </w:r>
      <w:r>
        <w:t xml:space="preserve"> </w:t>
      </w:r>
      <w:r>
        <w:rPr>
          <w:bCs/>
          <w:b/>
        </w:rPr>
        <w:t xml:space="preserve">35.0 kg CO2e</w:t>
      </w:r>
    </w:p>
    <w:bookmarkEnd w:id="35"/>
    <w:bookmarkStart w:id="36" w:name="end-of-life-eol-scope-3---downstream"/>
    <w:p>
      <w:pPr>
        <w:pStyle w:val="Heading4"/>
      </w:pPr>
      <w:r>
        <w:t xml:space="preserve">5. End-of-Life (EoL) (Scope 3 - Downstream)</w:t>
      </w:r>
    </w:p>
    <w:p>
      <w:pPr>
        <w:numPr>
          <w:ilvl w:val="0"/>
          <w:numId w:val="1012"/>
        </w:numPr>
        <w:pStyle w:val="Compact"/>
      </w:pPr>
      <w:r>
        <w:t xml:space="preserve">Recyclability Percentage: lolsvrzwzv %</w:t>
      </w:r>
    </w:p>
    <w:p>
      <w:pPr>
        <w:numPr>
          <w:ilvl w:val="0"/>
          <w:numId w:val="1012"/>
        </w:numPr>
        <w:pStyle w:val="Compact"/>
      </w:pPr>
      <w:r>
        <w:t xml:space="preserve">Circular/Take-back Programs: pmgonpette</w:t>
      </w:r>
    </w:p>
    <w:p>
      <w:pPr>
        <w:numPr>
          <w:ilvl w:val="0"/>
          <w:numId w:val="1012"/>
        </w:numPr>
        <w:pStyle w:val="Compact"/>
      </w:pPr>
      <w:r>
        <w:t xml:space="preserve">Product Weight for EoL: 0.85 kg</w:t>
      </w:r>
    </w:p>
    <w:p>
      <w:pPr>
        <w:numPr>
          <w:ilvl w:val="0"/>
          <w:numId w:val="1012"/>
        </w:numPr>
        <w:pStyle w:val="Compact"/>
      </w:pPr>
      <w:r>
        <w:rPr>
          <w:iCs/>
          <w:i/>
        </w:rPr>
        <w:t xml:space="preserve">Illustrative Calculation (assuming lolsvrzwzv=80%):</w:t>
      </w:r>
      <w:r>
        <w:t xml:space="preserve"> </w:t>
      </w:r>
      <w:r>
        <w:t xml:space="preserve">Emissions from landfill: 0.85 * (1 - 0.80) * 1.0 = 0.17 kg CO2e</w:t>
      </w:r>
      <w:r>
        <w:t xml:space="preserve"> </w:t>
      </w:r>
      <w:r>
        <w:t xml:space="preserve">Credits from recycling: 0.85 * 0.80 * (-0.5) = -0.34 kg CO2e</w:t>
      </w:r>
      <w:r>
        <w:t xml:space="preserve"> </w:t>
      </w:r>
      <w:r>
        <w:t xml:space="preserve">Net EoL Emissions: 0.17 - 0.34 =</w:t>
      </w:r>
      <w:r>
        <w:t xml:space="preserve"> </w:t>
      </w:r>
      <w:r>
        <w:rPr>
          <w:bCs/>
          <w:b/>
        </w:rPr>
        <w:t xml:space="preserve">-0.17 kg CO2e</w:t>
      </w:r>
    </w:p>
    <w:bookmarkEnd w:id="36"/>
    <w:bookmarkEnd w:id="37"/>
    <w:bookmarkStart w:id="38" w:name="X6cb5e98fc5f672b90609cb3addd66567976155f"/>
    <w:p>
      <w:pPr>
        <w:pStyle w:val="Heading3"/>
      </w:pPr>
      <w:r>
        <w:t xml:space="preserve">Total Product Carbon Footprint (Illustrative Summary)</w:t>
      </w:r>
    </w:p>
    <w:p>
      <w:pPr>
        <w:pStyle w:val="FirstParagraph"/>
      </w:pPr>
      <w:r>
        <w:t xml:space="preserve">The following table summarizes the calculated emissions across the product\'s lifecycle,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Percentage of Total</w:t>
            </w:r>
          </w:p>
        </w:tc>
      </w:tr>
      <w:tr>
        <w:tc>
          <w:tcPr/>
          <w:p>
            <w:pPr>
              <w:pStyle w:val="Compact"/>
              <w:jc w:val="left"/>
            </w:pPr>
            <w:r>
              <w:t xml:space="preserve">1. Material Acquisition &amp; Processing</w:t>
            </w:r>
          </w:p>
        </w:tc>
        <w:tc>
          <w:tcPr/>
          <w:p>
            <w:pPr>
              <w:pStyle w:val="Compact"/>
              <w:jc w:val="left"/>
            </w:pPr>
            <w:r>
              <w:t xml:space="preserve">Scope 3 (Upstream)</w:t>
            </w:r>
          </w:p>
        </w:tc>
        <w:tc>
          <w:tcPr/>
          <w:p>
            <w:pPr>
              <w:pStyle w:val="Compact"/>
              <w:jc w:val="left"/>
            </w:pPr>
            <w:r>
              <w:t xml:space="preserve">5.08</w:t>
            </w:r>
          </w:p>
        </w:tc>
        <w:tc>
          <w:tcPr/>
          <w:p>
            <w:pPr>
              <w:pStyle w:val="Compact"/>
              <w:jc w:val="left"/>
            </w:pPr>
            <w:r>
              <w:t xml:space="preserve">8.3%</w:t>
            </w:r>
          </w:p>
        </w:tc>
      </w:tr>
      <w:tr>
        <w:tc>
          <w:tcPr/>
          <w:p>
            <w:pPr>
              <w:pStyle w:val="Compact"/>
              <w:jc w:val="left"/>
            </w:pPr>
            <w:r>
              <w:t xml:space="preserve">2. Manufacturing / Production</w:t>
            </w:r>
          </w:p>
        </w:tc>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pPr>
          </w:p>
        </w:tc>
        <w:tc>
          <w:tcPr/>
          <w:p>
            <w:pPr>
              <w:pStyle w:val="Compact"/>
              <w:jc w:val="left"/>
            </w:pPr>
            <w:r>
              <w:t xml:space="preserve">Scope 2 (Purchased Electricity)</w:t>
            </w:r>
          </w:p>
        </w:tc>
        <w:tc>
          <w:tcPr/>
          <w:p>
            <w:pPr>
              <w:pStyle w:val="Compact"/>
              <w:jc w:val="left"/>
            </w:pPr>
            <w:r>
              <w:t xml:space="preserve">0.22</w:t>
            </w:r>
          </w:p>
        </w:tc>
        <w:tc>
          <w:tcPr/>
          <w:p>
            <w:pPr>
              <w:pStyle w:val="Compact"/>
              <w:jc w:val="left"/>
            </w:pPr>
            <w:r>
              <w:t xml:space="preserve">0.4%</w:t>
            </w:r>
          </w:p>
        </w:tc>
      </w:tr>
      <w:tr>
        <w:tc>
          <w:tcPr/>
          <w:p>
            <w:pPr>
              <w:pStyle w:val="Compact"/>
            </w:pPr>
          </w:p>
        </w:tc>
        <w:tc>
          <w:tcPr/>
          <w:p>
            <w:pPr>
              <w:pStyle w:val="Compact"/>
              <w:jc w:val="left"/>
            </w:pPr>
            <w:r>
              <w:t xml:space="preserve">Scope 3 (Upstream - other)</w:t>
            </w:r>
          </w:p>
        </w:tc>
        <w:tc>
          <w:tcPr/>
          <w:p>
            <w:pPr>
              <w:pStyle w:val="Compact"/>
              <w:jc w:val="left"/>
            </w:pPr>
            <w:r>
              <w:t xml:space="preserve">0.10</w:t>
            </w:r>
          </w:p>
        </w:tc>
        <w:tc>
          <w:tcPr/>
          <w:p>
            <w:pPr>
              <w:pStyle w:val="Compact"/>
              <w:jc w:val="left"/>
            </w:pPr>
            <w:r>
              <w:t xml:space="preserve">0.2%</w:t>
            </w:r>
          </w:p>
        </w:tc>
      </w:tr>
      <w:tr>
        <w:tc>
          <w:tcPr/>
          <w:p>
            <w:pPr>
              <w:pStyle w:val="Compact"/>
              <w:jc w:val="left"/>
            </w:pPr>
            <w:r>
              <w:t xml:space="preserve">3. Transportation to Customer</w:t>
            </w:r>
          </w:p>
        </w:tc>
        <w:tc>
          <w:tcPr/>
          <w:p>
            <w:pPr>
              <w:pStyle w:val="Compact"/>
              <w:jc w:val="left"/>
            </w:pPr>
            <w:r>
              <w:t xml:space="preserve">Scope 3 (Downstream)</w:t>
            </w:r>
          </w:p>
        </w:tc>
        <w:tc>
          <w:tcPr/>
          <w:p>
            <w:pPr>
              <w:pStyle w:val="Compact"/>
              <w:jc w:val="left"/>
            </w:pPr>
            <w:r>
              <w:t xml:space="preserve">25.01</w:t>
            </w:r>
          </w:p>
        </w:tc>
        <w:tc>
          <w:tcPr/>
          <w:p>
            <w:pPr>
              <w:pStyle w:val="Compact"/>
              <w:jc w:val="left"/>
            </w:pPr>
            <w:r>
              <w:t xml:space="preserve">40.9%</w:t>
            </w:r>
          </w:p>
        </w:tc>
      </w:tr>
      <w:tr>
        <w:tc>
          <w:tcPr/>
          <w:p>
            <w:pPr>
              <w:pStyle w:val="Compact"/>
              <w:jc w:val="left"/>
            </w:pPr>
            <w:r>
              <w:t xml:space="preserve">4. Product Use Phase</w:t>
            </w:r>
          </w:p>
        </w:tc>
        <w:tc>
          <w:tcPr/>
          <w:p>
            <w:pPr>
              <w:pStyle w:val="Compact"/>
              <w:jc w:val="left"/>
            </w:pPr>
            <w:r>
              <w:t xml:space="preserve">Scope 3 (Downstream)</w:t>
            </w:r>
          </w:p>
        </w:tc>
        <w:tc>
          <w:tcPr/>
          <w:p>
            <w:pPr>
              <w:pStyle w:val="Compact"/>
              <w:jc w:val="left"/>
            </w:pPr>
            <w:r>
              <w:t xml:space="preserve">35.00</w:t>
            </w:r>
          </w:p>
        </w:tc>
        <w:tc>
          <w:tcPr/>
          <w:p>
            <w:pPr>
              <w:pStyle w:val="Compact"/>
              <w:jc w:val="left"/>
            </w:pPr>
            <w:r>
              <w:t xml:space="preserve">57.3%</w:t>
            </w:r>
          </w:p>
        </w:tc>
      </w:tr>
      <w:tr>
        <w:tc>
          <w:tcPr/>
          <w:p>
            <w:pPr>
              <w:pStyle w:val="Compact"/>
              <w:jc w:val="left"/>
            </w:pPr>
            <w:r>
              <w:t xml:space="preserve">5. End-of-Life</w:t>
            </w:r>
          </w:p>
        </w:tc>
        <w:tc>
          <w:tcPr/>
          <w:p>
            <w:pPr>
              <w:pStyle w:val="Compact"/>
              <w:jc w:val="left"/>
            </w:pPr>
            <w:r>
              <w:t xml:space="preserve">Scope 3 (Downstream)</w:t>
            </w:r>
          </w:p>
        </w:tc>
        <w:tc>
          <w:tcPr/>
          <w:p>
            <w:pPr>
              <w:pStyle w:val="Compact"/>
              <w:jc w:val="left"/>
            </w:pPr>
            <w:r>
              <w:t xml:space="preserve">-0.17</w:t>
            </w:r>
          </w:p>
        </w:tc>
        <w:tc>
          <w:tcPr/>
          <w:p>
            <w:pPr>
              <w:pStyle w:val="Compact"/>
              <w:jc w:val="left"/>
            </w:pPr>
            <w:r>
              <w:t xml:space="preserve">-0.3%</w:t>
            </w:r>
          </w:p>
        </w:tc>
      </w:tr>
      <w:tr>
        <w:tc>
          <w:tcPr>
            <w:gridSpan w:val="2"/>
          </w:tcPr>
          <w:p>
            <w:pPr>
              <w:pStyle w:val="Compact"/>
              <w:jc w:val="left"/>
            </w:pPr>
            <w:r>
              <w:t xml:space="preserve">Total Product Carbon Footprint</w:t>
            </w:r>
          </w:p>
        </w:tc>
        <w:tc>
          <w:tcPr/>
          <w:p>
            <w:pPr>
              <w:pStyle w:val="Compact"/>
              <w:jc w:val="left"/>
            </w:pPr>
            <w:r>
              <w:t xml:space="preserve">60.24</w:t>
            </w:r>
          </w:p>
        </w:tc>
        <w:tc>
          <w:tcPr/>
          <w:p>
            <w:pPr>
              <w:pStyle w:val="Compact"/>
              <w:jc w:val="left"/>
            </w:pPr>
            <w:r>
              <w:t xml:space="preserve">100%</w:t>
            </w:r>
          </w:p>
        </w:tc>
      </w:tr>
    </w:tbl>
    <w:p>
      <w:pPr>
        <w:pStyle w:val="BodyText"/>
      </w:pPr>
      <w:r>
        <w:rPr>
          <w:iCs/>
          <w:i/>
        </w:rPr>
        <w:t xml:space="preserve">Note: Percentages may not sum to 100% due to rounding and negative values.</w:t>
      </w:r>
    </w:p>
    <w:p>
      <w:pPr>
        <w:pStyle w:val="BodyText"/>
      </w:pPr>
      <w:r>
        <w:rPr>
          <w:bCs/>
          <w:b/>
        </w:rPr>
        <w:t xml:space="preserve">Total Scope 3 Coverage:</w:t>
      </w:r>
      <w:r>
        <w:t xml:space="preserve"> </w:t>
      </w:r>
      <w:r>
        <w:t xml:space="preserve">(5.08 + 0.10 + 25.01 + 35.00 - 0.17) / 60.24 * 100% = 99.6%. This demonstrates compliance with the 95% Scope 3 coverage requirement.</w:t>
      </w:r>
    </w:p>
    <w:p>
      <w:r>
        <w:pict>
          <v:rect style="width:0;height:1.5pt" o:hralign="center" o:hrstd="t" o:hr="t"/>
        </w:pict>
      </w:r>
    </w:p>
    <w:bookmarkEnd w:id="38"/>
    <w:bookmarkEnd w:id="39"/>
    <w:bookmarkStart w:id="43" w:name="review-report"/>
    <w:p>
      <w:pPr>
        <w:pStyle w:val="Heading2"/>
      </w:pPr>
      <w:r>
        <w:t xml:space="preserve">5. Review &amp; Report</w:t>
      </w:r>
    </w:p>
    <w:bookmarkStart w:id="40" w:name="key-findings-and-hotspots"/>
    <w:p>
      <w:pPr>
        <w:pStyle w:val="Heading3"/>
      </w:pPr>
      <w:r>
        <w:t xml:space="preserve">Key Findings and Hotspots:</w:t>
      </w:r>
    </w:p>
    <w:p>
      <w:pPr>
        <w:numPr>
          <w:ilvl w:val="0"/>
          <w:numId w:val="1013"/>
        </w:numPr>
        <w:pStyle w:val="Compact"/>
      </w:pPr>
      <w:r>
        <w:rPr>
          <w:bCs/>
          <w:b/>
        </w:rPr>
        <w:t xml:space="preserve">Use Phase Dominance:</w:t>
      </w:r>
      <w:r>
        <w:t xml:space="preserve"> </w:t>
      </w:r>
      <w:r>
        <w:t xml:space="preserve">The most significant contributor to kfkxnhhogk\'s PCF is the product use phase, accounting for approximately 57.3% of total emissions. This is primarily driven by energy consumption over its ngossvolll-year lifespan.</w:t>
      </w:r>
    </w:p>
    <w:p>
      <w:pPr>
        <w:numPr>
          <w:ilvl w:val="0"/>
          <w:numId w:val="1013"/>
        </w:numPr>
        <w:pStyle w:val="Compact"/>
      </w:pPr>
      <w:r>
        <w:rPr>
          <w:bCs/>
          <w:b/>
        </w:rPr>
        <w:t xml:space="preserve">Transportation Impact:</w:t>
      </w:r>
      <w:r>
        <w:t xml:space="preserve"> </w:t>
      </w:r>
      <w:r>
        <w:t xml:space="preserve">Transportation, particularly last-mile delivery, represents a substantial hotspot, contributing around 40.9% of the total footprint. The assumed high emission factor for parcel services highlights the need for optimizing logistics.</w:t>
      </w:r>
    </w:p>
    <w:p>
      <w:pPr>
        <w:numPr>
          <w:ilvl w:val="0"/>
          <w:numId w:val="1013"/>
        </w:numPr>
        <w:pStyle w:val="Compact"/>
      </w:pPr>
      <w:r>
        <w:rPr>
          <w:bCs/>
          <w:b/>
        </w:rPr>
        <w:t xml:space="preserve">Material Impact:</w:t>
      </w:r>
      <w:r>
        <w:t xml:space="preserve"> </w:t>
      </w:r>
      <w:r>
        <w:t xml:space="preserve">Raw material acquisition and processing contribute about 8.3% of the total, largely from embedded carbon in components like Aluminum and Electronics.</w:t>
      </w:r>
    </w:p>
    <w:p>
      <w:pPr>
        <w:numPr>
          <w:ilvl w:val="0"/>
          <w:numId w:val="1013"/>
        </w:numPr>
        <w:pStyle w:val="Compact"/>
      </w:pPr>
      <w:r>
        <w:rPr>
          <w:bCs/>
          <w:b/>
        </w:rPr>
        <w:t xml:space="preserve">Manufacturing Efficiency:</w:t>
      </w:r>
      <w:r>
        <w:t xml:space="preserve"> </w:t>
      </w:r>
      <w:r>
        <w:t xml:space="preserve">With qvkqfljxoo% renewable energy usage and an energy intensity of ypmmzkxgtl kWh/unit, the direct manufacturing process (Scope 2) has a relatively low impact (0.4%).</w:t>
      </w:r>
    </w:p>
    <w:p>
      <w:pPr>
        <w:numPr>
          <w:ilvl w:val="0"/>
          <w:numId w:val="1013"/>
        </w:numPr>
        <w:pStyle w:val="Compact"/>
      </w:pPr>
      <w:r>
        <w:rPr>
          <w:bCs/>
          <w:b/>
        </w:rPr>
        <w:t xml:space="preserve">Circular Economy Benefits:</w:t>
      </w:r>
      <w:r>
        <w:t xml:space="preserve"> </w:t>
      </w:r>
      <w:r>
        <w:t xml:space="preserve">High recyclability (lolsvrzwzv%) and circular programs (pmgonpette) result in a net negative impact at End-of-Life, demonstrating the effectiveness of circular strategies in reducing overall PCF.</w:t>
      </w:r>
    </w:p>
    <w:bookmarkEnd w:id="40"/>
    <w:bookmarkStart w:id="41" w:name="reliability-and-limitations"/>
    <w:p>
      <w:pPr>
        <w:pStyle w:val="Heading3"/>
      </w:pPr>
      <w:r>
        <w:t xml:space="preserve">Reliability and Limitations:</w:t>
      </w:r>
    </w:p>
    <w:p>
      <w:pPr>
        <w:pStyle w:val="FirstParagraph"/>
      </w:pPr>
      <w:r>
        <w:t xml:space="preserve">The reliability of this report is high for the parameters provided, as it directly incorporates specific company and product data. However, inherent limitations include:</w:t>
      </w:r>
    </w:p>
    <w:p>
      <w:pPr>
        <w:numPr>
          <w:ilvl w:val="0"/>
          <w:numId w:val="1014"/>
        </w:numPr>
        <w:pStyle w:val="Compact"/>
      </w:pPr>
      <w:r>
        <w:rPr>
          <w:bCs/>
          <w:b/>
        </w:rPr>
        <w:t xml:space="preserve">Emission Factor Assumptions:</w:t>
      </w:r>
      <w:r>
        <w:t xml:space="preserve"> </w:t>
      </w:r>
      <w:r>
        <w:t xml:space="preserve">The accuracy of the calculated footprint is dependent on the representativeness and accuracy of the secondary emission factors used, which are illustrative in this report.</w:t>
      </w:r>
    </w:p>
    <w:p>
      <w:pPr>
        <w:numPr>
          <w:ilvl w:val="0"/>
          <w:numId w:val="1014"/>
        </w:numPr>
        <w:pStyle w:val="Compact"/>
      </w:pPr>
      <w:r>
        <w:rPr>
          <w:bCs/>
          <w:b/>
        </w:rPr>
        <w:t xml:space="preserve">Data Granularity:</w:t>
      </w:r>
      <w:r>
        <w:t xml:space="preserve"> </w:t>
      </w:r>
      <w:r>
        <w:t xml:space="preserve">While the BOM is detailed, some assumptions were made regarding the conversion of "units" to mass for transport/EoL calculations. Further granularity on the weight of each component would enhance accuracy.</w:t>
      </w:r>
    </w:p>
    <w:p>
      <w:pPr>
        <w:numPr>
          <w:ilvl w:val="0"/>
          <w:numId w:val="1014"/>
        </w:numPr>
        <w:pStyle w:val="Compact"/>
      </w:pPr>
      <w:r>
        <w:rPr>
          <w:bCs/>
          <w:b/>
        </w:rPr>
        <w:t xml:space="preserve">Scope 1 Detail:</w:t>
      </w:r>
      <w:r>
        <w:t xml:space="preserve"> </w:t>
      </w:r>
      <w:r>
        <w:t xml:space="preserve">Direct Scope 1 emissions from manufacturing (e.g., specific on-site fuel combustion or process emissions) are assumed negligible or not explicitly calculated without more specific operational data.</w:t>
      </w:r>
    </w:p>
    <w:p>
      <w:pPr>
        <w:numPr>
          <w:ilvl w:val="0"/>
          <w:numId w:val="1014"/>
        </w:numPr>
        <w:pStyle w:val="Compact"/>
      </w:pPr>
      <w:r>
        <w:rPr>
          <w:bCs/>
          <w:b/>
        </w:rPr>
        <w:t xml:space="preserve">Dynamic Nature:</w:t>
      </w:r>
      <w:r>
        <w:t xml:space="preserve"> </w:t>
      </w:r>
      <w:r>
        <w:t xml:space="preserve">PCF is a dynamic metric; changes in supply chain, energy mix, product design, or end-of-life infrastructure will affect the footprint.</w:t>
      </w:r>
    </w:p>
    <w:bookmarkEnd w:id="41"/>
    <w:bookmarkStart w:id="42" w:name="recommendations-for-decarbonization"/>
    <w:p>
      <w:pPr>
        <w:pStyle w:val="Heading3"/>
      </w:pPr>
      <w:r>
        <w:t xml:space="preserve">Recommendations for Decarbonization:</w:t>
      </w:r>
    </w:p>
    <w:p>
      <w:pPr>
        <w:numPr>
          <w:ilvl w:val="0"/>
          <w:numId w:val="1015"/>
        </w:numPr>
        <w:pStyle w:val="Compact"/>
      </w:pPr>
      <w:r>
        <w:rPr>
          <w:bCs/>
          <w:b/>
        </w:rPr>
        <w:t xml:space="preserve">Optimize Use Phase:</w:t>
      </w:r>
      <w:r>
        <w:t xml:space="preserve"> </w:t>
      </w:r>
      <w:r>
        <w:t xml:space="preserve">Focus on improving product energy efficiency (reduce nnnieixgft kWh/year) or extending product lifespan (increase ngossvolll) through modular design, repairability, and software updates.</w:t>
      </w:r>
    </w:p>
    <w:p>
      <w:pPr>
        <w:numPr>
          <w:ilvl w:val="0"/>
          <w:numId w:val="1015"/>
        </w:numPr>
        <w:pStyle w:val="Compact"/>
      </w:pPr>
      <w:r>
        <w:rPr>
          <w:bCs/>
          <w:b/>
        </w:rPr>
        <w:t xml:space="preserve">Re-evaluate Logistics:</w:t>
      </w:r>
      <w:r>
        <w:t xml:space="preserve"> </w:t>
      </w:r>
      <w:r>
        <w:t xml:space="preserve">Investigate lower-carbon transport modes for both primary and last-mile delivery. Optimize delivery routes and consider localizing production or distribution centers to reduce transport distance (zjivnwsrzj).</w:t>
      </w:r>
    </w:p>
    <w:p>
      <w:pPr>
        <w:numPr>
          <w:ilvl w:val="0"/>
          <w:numId w:val="1015"/>
        </w:numPr>
        <w:pStyle w:val="Compact"/>
      </w:pPr>
      <w:r>
        <w:rPr>
          <w:bCs/>
          <w:b/>
        </w:rPr>
        <w:t xml:space="preserve">Material Innovation:</w:t>
      </w:r>
      <w:r>
        <w:t xml:space="preserve"> </w:t>
      </w:r>
      <w:r>
        <w:t xml:space="preserve">Explore alternative, lower-carbon materials for high-impact components, while maintaining product performance and quality. Engage with suppliers to understand and reduce their embedded emissions.</w:t>
      </w:r>
    </w:p>
    <w:p>
      <w:pPr>
        <w:numPr>
          <w:ilvl w:val="0"/>
          <w:numId w:val="1015"/>
        </w:numPr>
        <w:pStyle w:val="Compact"/>
      </w:pPr>
      <w:r>
        <w:rPr>
          <w:bCs/>
          <w:b/>
        </w:rPr>
        <w:t xml:space="preserve">Enhance Circularity:</w:t>
      </w:r>
      <w:r>
        <w:t xml:space="preserve"> </w:t>
      </w:r>
      <w:r>
        <w:t xml:space="preserve">Continue and expand circular economy initiatives (pmgonpette) and aim to further increase recyclability (lolsvrzwzv%) and material recovery rates.</w:t>
      </w:r>
    </w:p>
    <w:p>
      <w:pPr>
        <w:numPr>
          <w:ilvl w:val="0"/>
          <w:numId w:val="1015"/>
        </w:numPr>
        <w:pStyle w:val="Compact"/>
      </w:pPr>
      <w:r>
        <w:rPr>
          <w:bCs/>
          <w:b/>
        </w:rPr>
        <w:t xml:space="preserve">Supplier Engagement:</w:t>
      </w:r>
      <w:r>
        <w:t xml:space="preserve"> </w:t>
      </w:r>
      <w:r>
        <w:t xml:space="preserve">Work with upstream suppliers to track and reduce their Scope 1 and Scope 2 emissions, which directly impact the product\'s Scope 3 material footprint.</w:t>
      </w:r>
    </w:p>
    <w:bookmarkEnd w:id="42"/>
    <w:bookmarkEnd w:id="43"/>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kfkxnhhogk</dc:title>
  <dc:creator/>
  <dc:description>Detailed Product Carbon Footprint (PCF) analysis report for kfkxnhhogk, conducted for hpgzzthtzp by qrjfkspvue, Senior Sustainability Consultant, adhering to GHG Protocol and 2026 LSR Update requirements.</dc:description>
  <cp:keywords/>
  <dcterms:created xsi:type="dcterms:W3CDTF">2026-07-16T05:10:31Z</dcterms:created>
  <dcterms:modified xsi:type="dcterms:W3CDTF">2026-07-16T05:10:31Z</dcterms:modified>
</cp:coreProperties>
</file>

<file path=docProps/custom.xml><?xml version="1.0" encoding="utf-8"?>
<Properties xmlns="http://schemas.openxmlformats.org/officeDocument/2006/custom-properties" xmlns:vt="http://schemas.openxmlformats.org/officeDocument/2006/docPropsVTypes"/>
</file>