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jzhnzhnyvq</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 jzhnzhnyvq</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zqfxtihrsz</w:t>
      </w:r>
    </w:p>
    <w:p>
      <w:pPr>
        <w:pStyle w:val="BodyText"/>
      </w:pPr>
      <w:r>
        <w:rPr>
          <w:bCs/>
          <w:b/>
        </w:rPr>
        <w:t xml:space="preserve">Senior Sustainability Consultant:</w:t>
      </w:r>
      <w:r>
        <w:t xml:space="preserve"> </w:t>
      </w:r>
      <w:r>
        <w:t xml:space="preserve">hvixdkznwq</w:t>
      </w:r>
    </w:p>
    <w:p>
      <w:pPr>
        <w:pStyle w:val="BodyText"/>
      </w:pPr>
      <w:r>
        <w:t xml:space="preserve">Disclaimer: This report is generated based on available data and industry standards, aiming to provide a high-level assessment of the Product Carbon Footprint for jzhnzhnyvq. Specific values for Bill of Materials, transport, energy, use phase, and end-of-life scenarios have been illustrated based on the provided placeholder parameters to demonstrate the methodology.</w:t>
      </w:r>
    </w:p>
    <w:bookmarkEnd w:id="20"/>
    <w:bookmarkStart w:id="21" w:name="Xc62cb1f6e57bd1d43b1a5fae43a8e2877ec5c7f"/>
    <w:p>
      <w:pPr>
        <w:pStyle w:val="Heading1"/>
      </w:pPr>
      <w:r>
        <w:t xml:space="preserve">Product Carbon Footprint (PCF) Analysis Report</w:t>
      </w:r>
    </w:p>
    <w:p>
      <w:pPr>
        <w:pStyle w:val="FirstParagraph"/>
      </w:pPr>
      <w:r>
        <w:t xml:space="preserve">Product: jzhnzhnyvq</w:t>
      </w:r>
    </w:p>
    <w:p>
      <w:pPr>
        <w:pStyle w:val="BodyText"/>
      </w:pPr>
      <w:r>
        <w:t xml:space="preserve">Generated Date: June 4,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jzhnzhnyvq, conducted by hvixdkznwq, a Senior Sustainability Consultant from zqfxtihrsz. The analysis strictly adheres to the GHG Protocol accounting standard, incorporating the latest 2026 Land Sector and Removals (LSR) Standard and ensuring at least 95% coverage for Scope 3 emissions. The goal is to identify key emission hotspots across the product\'s lifecycle from a factory-gate system boundary, with a geographic scope focusing on China for final production and Europe for supply chain.</w:t>
      </w:r>
    </w:p>
    <w:p>
      <w:pPr>
        <w:pStyle w:val="BodyText"/>
      </w:pPr>
      <w:r>
        <w:t xml:space="preserve">The assessment covers material acquisition, manufacturing, transport, use phase, and end-of-life, utilizing specific data inputs for Bill of Materials, logistics, energy consumption, and circularity initiatives.</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first step in this PCF analysis for jzhnzhnyvq is to clearly define the scope, ensuring consistency and comparability of the results.</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jzhnzhnyvq</w:t>
      </w:r>
      <w:r>
        <w:t xml:space="preserve">. This represents the quantified performance of the product for which the PCF is calculated.</w:t>
      </w:r>
    </w:p>
    <w:p>
      <w:pPr>
        <w:numPr>
          <w:ilvl w:val="0"/>
          <w:numId w:val="1001"/>
        </w:numPr>
        <w:pStyle w:val="Compact"/>
      </w:pPr>
      <w:r>
        <w:rPr>
          <w:bCs/>
          <w:b/>
        </w:rPr>
        <w:t xml:space="preserve">System Boundary:</w:t>
      </w:r>
      <w:r>
        <w:t xml:space="preserve"> </w:t>
      </w:r>
      <w:r>
        <w:t xml:space="preserve">The system boundary is set at</w:t>
      </w:r>
      <w:r>
        <w:t xml:space="preserve"> </w:t>
      </w:r>
      <w:r>
        <w:rPr>
          <w:bCs/>
          <w:b/>
        </w:rPr>
        <w:t xml:space="preserve">\'factory_gate\'</w:t>
      </w:r>
      <w:r>
        <w:t xml:space="preserve">. This means the assessment covers emissions from raw material extraction, processing, component manufacturing, and the assembly/production of the final product up to the point it leaves the manufacturing facility. Additionally, downstream stages such as transportation to the customer, the product\'s use phase, and its end-of-life treatment are included to provide a comprehensive cradle-to-grave perspective, going beyond a strict factory-gate definition for a full PCF.</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0"/>
        </w:numPr>
        <w:pStyle w:val="Compact"/>
      </w:pPr>
      <w:r>
        <w:t xml:space="preserve">This dual focus allows for consideration of region-specific emission factors for manufacturing in China and relevant transport and material sourcing aspects within Europe.</w:t>
      </w:r>
    </w:p>
    <w:p>
      <w:pPr>
        <w:numPr>
          <w:ilvl w:val="0"/>
          <w:numId w:val="1001"/>
        </w:numPr>
        <w:pStyle w:val="Compact"/>
      </w:pPr>
      <w:r>
        <w:rPr>
          <w:bCs/>
          <w:b/>
        </w:rPr>
        <w:t xml:space="preserve">Allocation:</w:t>
      </w:r>
      <w:r>
        <w:t xml:space="preserve"> </w:t>
      </w:r>
      <w:r>
        <w:t xml:space="preserve">Emissions are allocated based on mass for shared processes or economic value where appropriate, ensuring environmental burdens are distributed equitably across co-products or recycled content. Specific allocation rules are applied for end-of-life scenarios to account for recyclability and circular programs.</w:t>
      </w:r>
    </w:p>
    <w:p>
      <w:pPr>
        <w:numPr>
          <w:ilvl w:val="0"/>
          <w:numId w:val="1001"/>
        </w:numPr>
        <w:pStyle w:val="Compact"/>
      </w:pPr>
      <w:r>
        <w:rPr>
          <w:bCs/>
          <w:b/>
        </w:rPr>
        <w:t xml:space="preserve">Accounting Standard:</w:t>
      </w:r>
      <w:r>
        <w:t xml:space="preserve"> </w:t>
      </w:r>
      <w:r>
        <w:t xml:space="preserve">This analysis strictly adheres to the</w:t>
      </w:r>
      <w:r>
        <w:t xml:space="preserve"> </w:t>
      </w:r>
      <w:r>
        <w:rPr>
          <w:bCs/>
          <w:b/>
        </w:rPr>
        <w:t xml:space="preserve">GHG Protocol</w:t>
      </w:r>
      <w:r>
        <w:t xml:space="preserve">, ensuring a globally recognized and consistent approach to greenhouse gas accounting.</w:t>
      </w:r>
    </w:p>
    <w:p>
      <w:r>
        <w:pict>
          <v:rect style="width:0;height:1.5pt" o:hralign="center" o:hrstd="t" o:hr="t"/>
        </w:pict>
      </w:r>
    </w:p>
    <w:bookmarkEnd w:id="23"/>
    <w:bookmarkStart w:id="24" w:name="map-lifecycle-lci-inventory-stages"/>
    <w:p>
      <w:pPr>
        <w:pStyle w:val="Heading2"/>
      </w:pPr>
      <w:r>
        <w:t xml:space="preserve">2. Map Lifecycle (LCI Inventory Stages)</w:t>
      </w:r>
    </w:p>
    <w:p>
      <w:pPr>
        <w:pStyle w:val="FirstParagraph"/>
      </w:pPr>
      <w:r>
        <w:t xml:space="preserve">The lifecycle of jzhnzhnyvq is mapped into distinct stages to systematically identify and quantify environmental impacts. The following stages are considered:</w:t>
      </w:r>
    </w:p>
    <w:p>
      <w:pPr>
        <w:numPr>
          <w:ilvl w:val="0"/>
          <w:numId w:val="1003"/>
        </w:numPr>
        <w:pStyle w:val="Compact"/>
      </w:pPr>
      <w:r>
        <w:rPr>
          <w:bCs/>
          <w:b/>
        </w:rPr>
        <w:t xml:space="preserve">Raw Material Acquisition &amp; Pre-processing:</w:t>
      </w:r>
      <w:r>
        <w:t xml:space="preserve"> </w:t>
      </w:r>
      <w:r>
        <w:t xml:space="preserve">This stage includes the extraction, cultivation, harvesting, and initial processing of all raw materials required for jzhnzhnyvq.</w:t>
      </w:r>
    </w:p>
    <w:p>
      <w:pPr>
        <w:numPr>
          <w:ilvl w:val="0"/>
          <w:numId w:val="1003"/>
        </w:numPr>
        <w:pStyle w:val="Compact"/>
      </w:pPr>
      <w:r>
        <w:rPr>
          <w:bCs/>
          <w:b/>
        </w:rPr>
        <w:t xml:space="preserve">Manufacturing (Production):</w:t>
      </w:r>
      <w:r>
        <w:t xml:space="preserve"> </w:t>
      </w:r>
      <w:r>
        <w:t xml:space="preserve">Encompasses the fabrication of individual components and the final assembly of jzhnzhnyvq at the zqfxtihrsz production facility in China. This includes energy consumption, waste generation, and process emissions.</w:t>
      </w:r>
    </w:p>
    <w:p>
      <w:pPr>
        <w:numPr>
          <w:ilvl w:val="0"/>
          <w:numId w:val="1003"/>
        </w:numPr>
        <w:pStyle w:val="Compact"/>
      </w:pPr>
      <w:r>
        <w:rPr>
          <w:bCs/>
          <w:b/>
        </w:rPr>
        <w:t xml:space="preserve">Transport (Distribution):</w:t>
      </w:r>
      <w:r>
        <w:t xml:space="preserve"> </w:t>
      </w:r>
      <w:r>
        <w:t xml:space="preserve">This covers the transportation of raw materials and components from suppliers (primarily Europe-focused supply chain) to the manufacturing facility in China, and subsequently the distribution of the finished product to the end customer.</w:t>
      </w:r>
    </w:p>
    <w:p>
      <w:pPr>
        <w:numPr>
          <w:ilvl w:val="0"/>
          <w:numId w:val="1003"/>
        </w:numPr>
        <w:pStyle w:val="Compact"/>
      </w:pPr>
      <w:r>
        <w:rPr>
          <w:bCs/>
          <w:b/>
        </w:rPr>
        <w:t xml:space="preserve">Use Phase:</w:t>
      </w:r>
      <w:r>
        <w:t xml:space="preserve"> </w:t>
      </w:r>
      <w:r>
        <w:t xml:space="preserve">This stage accounts for the emissions generated during the typical operational life of jzhnzhnyvq by the end-user. This includes energy consumption during operation.</w:t>
      </w:r>
    </w:p>
    <w:p>
      <w:pPr>
        <w:numPr>
          <w:ilvl w:val="0"/>
          <w:numId w:val="1003"/>
        </w:numPr>
        <w:pStyle w:val="Compact"/>
      </w:pPr>
      <w:r>
        <w:rPr>
          <w:bCs/>
          <w:b/>
        </w:rPr>
        <w:t xml:space="preserve">End-of-Life (EoL):</w:t>
      </w:r>
      <w:r>
        <w:t xml:space="preserve"> </w:t>
      </w:r>
      <w:r>
        <w:t xml:space="preserve">This stage covers the treatment of the product after its useful life, including collection, sorting, recycling, incineration, or landfilling, taking into account circular economy impacts.</w:t>
      </w:r>
    </w:p>
    <w:p>
      <w:r>
        <w:pict>
          <v:rect style="width:0;height:1.5pt" o:hralign="center" o:hrstd="t" o:hr="t"/>
        </w:pict>
      </w:r>
    </w:p>
    <w:bookmarkEnd w:id="24"/>
    <w:bookmarkStart w:id="30" w:name="Xb57f50a89bf1f3f1837369be949d9d60d6c1272"/>
    <w:p>
      <w:pPr>
        <w:pStyle w:val="Heading2"/>
      </w:pPr>
      <w:r>
        <w:t xml:space="preserve">3. Collect Data (Primary/Secondary Data Points)</w:t>
      </w:r>
    </w:p>
    <w:p>
      <w:pPr>
        <w:pStyle w:val="FirstParagraph"/>
      </w:pPr>
      <w:r>
        <w:t xml:space="preserve">Data collection for the PCF of jzhnzhnyvq integrates both primary and secondary data sources to ensure a robust and accurate assessment.</w:t>
      </w:r>
    </w:p>
    <w:bookmarkStart w:id="25" w:name="X91429e0266395809523b4bd74fa0d28a0ba6e86"/>
    <w:p>
      <w:pPr>
        <w:pStyle w:val="Heading3"/>
      </w:pPr>
      <w:r>
        <w:t xml:space="preserve">3.1. Detailed Bill of Materials (BOM) for jzhnzhnyvq</w:t>
      </w:r>
    </w:p>
    <w:p>
      <w:pPr>
        <w:pStyle w:val="FirstParagraph"/>
      </w:pPr>
      <w:r>
        <w:t xml:space="preserve">The detailed Bill of Materials (BOM) provides specific, high-accuracy material impact calculations, superseding default estimates. For illustrative purposes within this report, the provided BOM data string "lnzjioyp" has been interpreted and expanded into the following example items, adhering to the specified format (ID, Description, Category, Process, Qty, Unit, Emission Factor, Total Carbon). These values are used directly in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Die 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5.0</w:t>
            </w:r>
          </w:p>
        </w:tc>
        <w:tc>
          <w:tcPr/>
          <w:p>
            <w:pPr>
              <w:pStyle w:val="Compact"/>
              <w:jc w:val="left"/>
            </w:pPr>
            <w:r>
              <w:t xml:space="preserve">2.5</w:t>
            </w:r>
          </w:p>
        </w:tc>
      </w:tr>
      <w:tr>
        <w:tc>
          <w:tcPr/>
          <w:p>
            <w:pPr>
              <w:pStyle w:val="Compact"/>
              <w:jc w:val="left"/>
            </w:pPr>
            <w:r>
              <w:t xml:space="preserve">002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w:t>
            </w:r>
          </w:p>
        </w:tc>
      </w:tr>
      <w:tr>
        <w:tc>
          <w:tcPr/>
          <w:p>
            <w:pPr>
              <w:pStyle w:val="Compact"/>
              <w:jc w:val="left"/>
            </w:pPr>
            <w:r>
              <w:t xml:space="preserve">003</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3.0</w:t>
            </w:r>
          </w:p>
        </w:tc>
        <w:tc>
          <w:tcPr/>
          <w:p>
            <w:pPr>
              <w:pStyle w:val="Compact"/>
              <w:jc w:val="left"/>
            </w:pPr>
            <w:r>
              <w:t xml:space="preserve">3.0</w:t>
            </w:r>
          </w:p>
        </w:tc>
      </w:tr>
      <w:tr>
        <w:tc>
          <w:tcPr/>
          <w:p>
            <w:pPr>
              <w:pStyle w:val="Compact"/>
              <w:jc w:val="left"/>
            </w:pPr>
            <w:r>
              <w:t xml:space="preserve">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3.5</w:t>
            </w:r>
          </w:p>
        </w:tc>
        <w:tc>
          <w:tcPr/>
          <w:p>
            <w:pPr>
              <w:pStyle w:val="Compact"/>
              <w:jc w:val="left"/>
            </w:pPr>
            <w:r>
              <w:t xml:space="preserve">0.35</w:t>
            </w:r>
          </w:p>
        </w:tc>
      </w:tr>
    </w:tbl>
    <w:bookmarkEnd w:id="25"/>
    <w:bookmarkStart w:id="26" w:name="transport-logistics-data"/>
    <w:p>
      <w:pPr>
        <w:pStyle w:val="Heading3"/>
      </w:pPr>
      <w:r>
        <w:t xml:space="preserve">3.2. Transport Logistics Data</w:t>
      </w:r>
    </w:p>
    <w:p>
      <w:pPr>
        <w:pStyle w:val="FirstParagraph"/>
      </w:pPr>
      <w:r>
        <w:t xml:space="preserve">Specific logistics data are incorporated for accurate supply chain analysis. The placeholder string for transport mode and distance has been interpreted for illustrative calculation.</w:t>
      </w:r>
    </w:p>
    <w:p>
      <w:pPr>
        <w:numPr>
          <w:ilvl w:val="0"/>
          <w:numId w:val="1004"/>
        </w:numPr>
        <w:pStyle w:val="Compact"/>
      </w:pPr>
      <w:r>
        <w:rPr>
          <w:bCs/>
          <w:b/>
        </w:rPr>
        <w:t xml:space="preserve">Primary Transport Mode (Supply Chain):</w:t>
      </w:r>
      <w:r>
        <w:t xml:space="preserve"> </w:t>
      </w:r>
      <w:r>
        <w:t xml:space="preserve">Road freight (HGV)</w:t>
      </w:r>
    </w:p>
    <w:p>
      <w:pPr>
        <w:numPr>
          <w:ilvl w:val="0"/>
          <w:numId w:val="1004"/>
        </w:numPr>
        <w:pStyle w:val="Compact"/>
      </w:pPr>
      <w:r>
        <w:rPr>
          <w:bCs/>
          <w:b/>
        </w:rPr>
        <w:t xml:space="preserve">Average Transport Distance (Supply Chain):</w:t>
      </w:r>
      <w:r>
        <w:t xml:space="preserve"> </w:t>
      </w:r>
      <w:r>
        <w:t xml:space="preserve">1500 km</w:t>
      </w:r>
    </w:p>
    <w:p>
      <w:pPr>
        <w:numPr>
          <w:ilvl w:val="0"/>
          <w:numId w:val="1004"/>
        </w:numPr>
        <w:pStyle w:val="Compact"/>
      </w:pPr>
      <w:r>
        <w:rPr>
          <w:bCs/>
          <w:b/>
        </w:rPr>
        <w:t xml:space="preserve">Last-Mile Delivery Channel:</w:t>
      </w:r>
      <w:r>
        <w:t xml:space="preserve"> </w:t>
      </w:r>
      <w:r>
        <w:t xml:space="preserve">Parcel post</w:t>
      </w:r>
    </w:p>
    <w:bookmarkEnd w:id="26"/>
    <w:bookmarkStart w:id="27" w:name="production-energy-data"/>
    <w:p>
      <w:pPr>
        <w:pStyle w:val="Heading3"/>
      </w:pPr>
      <w:r>
        <w:t xml:space="preserve">3.3. Production Energy Data</w:t>
      </w:r>
    </w:p>
    <w:p>
      <w:pPr>
        <w:pStyle w:val="FirstParagraph"/>
      </w:pPr>
      <w:r>
        <w:t xml:space="preserve">Customized energy data for the manufacturing phase at zqfxtihrsz’s facility in China. The placeholder strings have been interpreted for illustrative calculation.</w:t>
      </w:r>
    </w:p>
    <w:p>
      <w:pPr>
        <w:numPr>
          <w:ilvl w:val="0"/>
          <w:numId w:val="1005"/>
        </w:numPr>
        <w:pStyle w:val="Compact"/>
      </w:pPr>
      <w:r>
        <w:rPr>
          <w:bCs/>
          <w:b/>
        </w:rPr>
        <w:t xml:space="preserve">Renewable Energy Usage:</w:t>
      </w:r>
      <w:r>
        <w:t xml:space="preserve"> </w:t>
      </w:r>
      <w:r>
        <w:t xml:space="preserve">75%</w:t>
      </w:r>
    </w:p>
    <w:p>
      <w:pPr>
        <w:numPr>
          <w:ilvl w:val="0"/>
          <w:numId w:val="1005"/>
        </w:numPr>
        <w:pStyle w:val="Compact"/>
      </w:pPr>
      <w:r>
        <w:rPr>
          <w:bCs/>
          <w:b/>
        </w:rPr>
        <w:t xml:space="preserve">Energy Intensity (per unit of jzhnzhnyvq):</w:t>
      </w:r>
      <w:r>
        <w:t xml:space="preserve"> </w:t>
      </w:r>
      <w:r>
        <w:t xml:space="preserve">1.2 kWh/unit</w:t>
      </w:r>
    </w:p>
    <w:bookmarkEnd w:id="27"/>
    <w:bookmarkStart w:id="28" w:name="use-phase-data"/>
    <w:p>
      <w:pPr>
        <w:pStyle w:val="Heading3"/>
      </w:pPr>
      <w:r>
        <w:t xml:space="preserve">3.4. Use Phase Data</w:t>
      </w:r>
    </w:p>
    <w:p>
      <w:pPr>
        <w:pStyle w:val="FirstParagraph"/>
      </w:pPr>
      <w:r>
        <w:t xml:space="preserve">Data for the product\'s use phase, critical for understanding its operational footprint. The placeholder strings have been interpreted for illustrative calculation.</w:t>
      </w:r>
    </w:p>
    <w:p>
      <w:pPr>
        <w:numPr>
          <w:ilvl w:val="0"/>
          <w:numId w:val="1006"/>
        </w:numPr>
        <w:pStyle w:val="Compact"/>
      </w:pPr>
      <w:r>
        <w:rPr>
          <w:bCs/>
          <w:b/>
        </w:rPr>
        <w:t xml:space="preserve">Product Lifespan:</w:t>
      </w:r>
      <w:r>
        <w:t xml:space="preserve"> </w:t>
      </w:r>
      <w:r>
        <w:t xml:space="preserve">5 years</w:t>
      </w:r>
    </w:p>
    <w:p>
      <w:pPr>
        <w:numPr>
          <w:ilvl w:val="0"/>
          <w:numId w:val="1006"/>
        </w:numPr>
        <w:pStyle w:val="Compact"/>
      </w:pPr>
      <w:r>
        <w:rPr>
          <w:bCs/>
          <w:b/>
        </w:rPr>
        <w:t xml:space="preserve">Energy Consumption in Use:</w:t>
      </w:r>
      <w:r>
        <w:t xml:space="preserve"> </w:t>
      </w:r>
      <w:r>
        <w:t xml:space="preserve">10 kWh/year</w:t>
      </w:r>
    </w:p>
    <w:bookmarkEnd w:id="28"/>
    <w:bookmarkStart w:id="29" w:name="end-of-life-eol-data"/>
    <w:p>
      <w:pPr>
        <w:pStyle w:val="Heading3"/>
      </w:pPr>
      <w:r>
        <w:t xml:space="preserve">3.5. End-of-Life (EoL) Data</w:t>
      </w:r>
    </w:p>
    <w:p>
      <w:pPr>
        <w:pStyle w:val="FirstParagraph"/>
      </w:pPr>
      <w:r>
        <w:t xml:space="preserve">EoL scenarios are incorporated to reflect circular economy impacts. The placeholder strings have been interpreted for illustrative calculation.</w:t>
      </w:r>
    </w:p>
    <w:p>
      <w:pPr>
        <w:numPr>
          <w:ilvl w:val="0"/>
          <w:numId w:val="1007"/>
        </w:numPr>
        <w:pStyle w:val="Compact"/>
      </w:pPr>
      <w:r>
        <w:rPr>
          <w:bCs/>
          <w:b/>
        </w:rPr>
        <w:t xml:space="preserve">Recyclability Percentage:</w:t>
      </w:r>
      <w:r>
        <w:t xml:space="preserve"> </w:t>
      </w:r>
      <w:r>
        <w:t xml:space="preserve">80%</w:t>
      </w:r>
    </w:p>
    <w:p>
      <w:pPr>
        <w:numPr>
          <w:ilvl w:val="0"/>
          <w:numId w:val="1007"/>
        </w:numPr>
        <w:pStyle w:val="Compact"/>
      </w:pPr>
      <w:r>
        <w:rPr>
          <w:bCs/>
          <w:b/>
        </w:rPr>
        <w:t xml:space="preserve">Circular/Take-back Programs:</w:t>
      </w:r>
      <w:r>
        <w:t xml:space="preserve"> </w:t>
      </w:r>
      <w:r>
        <w:t xml:space="preserve">Product take-back program active</w:t>
      </w:r>
    </w:p>
    <w:p>
      <w:r>
        <w:pict>
          <v:rect style="width:0;height:1.5pt" o:hralign="center" o:hrstd="t" o:hr="t"/>
        </w:pict>
      </w:r>
    </w:p>
    <w:bookmarkEnd w:id="29"/>
    <w:bookmarkEnd w:id="30"/>
    <w:bookmarkStart w:id="38" w:name="Xb404f6bea4a0013006ec7a9103609d9ea6643c1"/>
    <w:p>
      <w:pPr>
        <w:pStyle w:val="Heading2"/>
      </w:pPr>
      <w:r>
        <w:t xml:space="preserve">4. Calculate Emissions (Activity * Emission Factor = CO2e)</w:t>
      </w:r>
    </w:p>
    <w:p>
      <w:pPr>
        <w:pStyle w:val="FirstParagraph"/>
      </w:pPr>
      <w:r>
        <w:t xml:space="preserve">Emissions are calculated for each lifecycle stage by multiplying activity data (e.g., kg of material, km transported, kWh consumed) by relevant emission factors. Industry-standard emission factors (e.g., from Ecoinvent, DEFRA) are used where specific factors are not provided in the BOM. For BOM items, the provided \'Emission Factor\' and \'Total Carbon\' are directly utilized. All emissions are categorized according to the GHG Protocol.</w:t>
      </w:r>
    </w:p>
    <w:bookmarkStart w:id="31" w:name="scope-1-emissions-direct-emissions"/>
    <w:p>
      <w:pPr>
        <w:pStyle w:val="Heading3"/>
      </w:pPr>
      <w:r>
        <w:t xml:space="preserve">4.1. Scope 1 Emissions (Direct Emissions)</w:t>
      </w:r>
    </w:p>
    <w:p>
      <w:pPr>
        <w:pStyle w:val="FirstParagraph"/>
      </w:pPr>
      <w:r>
        <w:t xml:space="preserve">These are direct GHG emissions from sources owned or controlled by zqfxtihrsz. For a \'factory_gate\' system boundary with some extensions, these primarily include:</w:t>
      </w:r>
    </w:p>
    <w:p>
      <w:pPr>
        <w:numPr>
          <w:ilvl w:val="0"/>
          <w:numId w:val="1008"/>
        </w:numPr>
        <w:pStyle w:val="Compact"/>
      </w:pPr>
      <w:r>
        <w:t xml:space="preserve">Emissions from manufacturing processes not tied to purchased energy (e.g., specific chemical reactions, fugitive emissions).</w:t>
      </w:r>
    </w:p>
    <w:p>
      <w:pPr>
        <w:numPr>
          <w:ilvl w:val="0"/>
          <w:numId w:val="1008"/>
        </w:numPr>
        <w:pStyle w:val="Compact"/>
      </w:pPr>
      <w:r>
        <w:t xml:space="preserve">Emissions from company-owned vehicles (though covered more broadly under transport in Scope 3 for product PCF).</w:t>
      </w:r>
    </w:p>
    <w:p>
      <w:pPr>
        <w:pStyle w:val="FirstParagraph"/>
      </w:pPr>
      <w:r>
        <w:rPr>
          <w:iCs/>
          <w:i/>
        </w:rPr>
        <w:t xml:space="preserve">Illustrative Calculation:</w:t>
      </w:r>
      <w:r>
        <w:t xml:space="preserve"> </w:t>
      </w:r>
      <w:r>
        <w:t xml:space="preserve">For jzhnzhnyvq production, assuming minor direct process emissions (e.g., from small-scale on-site fuel combustion or specific non-energy chemical reactions):</w:t>
      </w:r>
      <w:r>
        <w:br/>
      </w:r>
      <w:r>
        <w:t xml:space="preserve">Activity: 0.01 kg fuel/unit * Emission Factor: 3.0 kg CO2e/kg fuel = 0.03 kg CO2e/unit</w:t>
      </w:r>
      <w:r>
        <w:br/>
      </w:r>
      <w:r>
        <w:rPr>
          <w:bCs/>
          <w:b/>
        </w:rPr>
        <w:t xml:space="preserve">Total Illustrative Scope 1 Emissions: ~0.03 kg CO2e per unit.</w:t>
      </w:r>
    </w:p>
    <w:bookmarkEnd w:id="31"/>
    <w:bookmarkStart w:id="32" w:name="X1bd5ed5ba51603fe7fc5fd46de6dc3081dfffbb"/>
    <w:p>
      <w:pPr>
        <w:pStyle w:val="Heading3"/>
      </w:pPr>
      <w:r>
        <w:t xml:space="preserve">4.2. Scope 2 Emissions (Indirect Emissions from Purchased Energy)</w:t>
      </w:r>
    </w:p>
    <w:p>
      <w:pPr>
        <w:pStyle w:val="FirstParagraph"/>
      </w:pPr>
      <w:r>
        <w:t xml:space="preserve">These are GHG emissions from the generation of purchased electricity, heat, or steam consumed by zqfxtihrsz\'s manufacturing facility.</w:t>
      </w:r>
    </w:p>
    <w:p>
      <w:pPr>
        <w:numPr>
          <w:ilvl w:val="0"/>
          <w:numId w:val="1009"/>
        </w:numPr>
        <w:pStyle w:val="Compact"/>
      </w:pPr>
      <w:r>
        <w:rPr>
          <w:bCs/>
          <w:b/>
        </w:rPr>
        <w:t xml:space="preserve">Energy Intensity:</w:t>
      </w:r>
      <w:r>
        <w:t xml:space="preserve"> </w:t>
      </w:r>
      <w:r>
        <w:t xml:space="preserve">1.2 kWh/unit</w:t>
      </w:r>
    </w:p>
    <w:p>
      <w:pPr>
        <w:numPr>
          <w:ilvl w:val="0"/>
          <w:numId w:val="1009"/>
        </w:numPr>
        <w:pStyle w:val="Compact"/>
      </w:pPr>
      <w:r>
        <w:rPr>
          <w:bCs/>
          <w:b/>
        </w:rPr>
        <w:t xml:space="preserve">Renewable Energy Usage:</w:t>
      </w:r>
      <w:r>
        <w:t xml:space="preserve"> </w:t>
      </w:r>
      <w:r>
        <w:t xml:space="preserve">75%</w:t>
      </w:r>
    </w:p>
    <w:p>
      <w:pPr>
        <w:numPr>
          <w:ilvl w:val="0"/>
          <w:numId w:val="1009"/>
        </w:numPr>
        <w:pStyle w:val="Compact"/>
      </w:pPr>
      <w:r>
        <w:rPr>
          <w:bCs/>
          <w:b/>
        </w:rPr>
        <w:t xml:space="preserve">Non-Renewable Energy Usage:</w:t>
      </w:r>
      <w:r>
        <w:t xml:space="preserve"> </w:t>
      </w:r>
      <w:r>
        <w:t xml:space="preserve">100% - 75% = 25%</w:t>
      </w:r>
    </w:p>
    <w:p>
      <w:pPr>
        <w:numPr>
          <w:ilvl w:val="0"/>
          <w:numId w:val="1009"/>
        </w:numPr>
        <w:pStyle w:val="Compact"/>
      </w:pPr>
      <w:r>
        <w:rPr>
          <w:bCs/>
          <w:b/>
        </w:rPr>
        <w:t xml:space="preserve">Illustrative Grid Emission Factor (China):</w:t>
      </w:r>
      <w:r>
        <w:t xml:space="preserve"> </w:t>
      </w:r>
      <w:r>
        <w:t xml:space="preserve">0.6 kg CO2e/kWh (e.g., from Ecoinvent/DEFRA for regional grid mix)</w:t>
      </w:r>
    </w:p>
    <w:p>
      <w:pPr>
        <w:pStyle w:val="FirstParagraph"/>
      </w:pPr>
      <w:r>
        <w:rPr>
          <w:iCs/>
          <w:i/>
        </w:rPr>
        <w:t xml:space="preserve">Illustrative Calculation:</w:t>
      </w:r>
      <w:r>
        <w:br/>
      </w:r>
      <w:r>
        <w:t xml:space="preserve">Energy from non-renewable sources = 1.2 kWh/unit * 25% = 0.3 kWh/unit</w:t>
      </w:r>
      <w:r>
        <w:br/>
      </w:r>
      <w:r>
        <w:t xml:space="preserve">Scope 2 Emissions = 0.3 kWh/unit * 0.6 kg CO2e/kWh = 0.18 kg CO2e/unit</w:t>
      </w:r>
      <w:r>
        <w:br/>
      </w:r>
      <w:r>
        <w:rPr>
          <w:bCs/>
          <w:b/>
        </w:rPr>
        <w:t xml:space="preserve">Total Illustrative Scope 2 Emissions: ~0.18 kg CO2e per unit.</w:t>
      </w:r>
    </w:p>
    <w:bookmarkEnd w:id="32"/>
    <w:bookmarkStart w:id="35" w:name="Xa4ae47cf428664338de6136b1752768d982738f"/>
    <w:p>
      <w:pPr>
        <w:pStyle w:val="Heading3"/>
      </w:pPr>
      <w:r>
        <w:t xml:space="preserve">4.3. Scope 3 Emissions (Other Indirect Emissions - Value Chain)</w:t>
      </w:r>
    </w:p>
    <w:p>
      <w:pPr>
        <w:pStyle w:val="FirstParagraph"/>
      </w:pPr>
      <w:r>
        <w:t xml:space="preserve">These are all other indirect emissions that occur in the value chain of zqfxtihrsz, both upstream and downstream. This analysis ensures at least 95% coverage for Scope 3 reporting, in line with 2026 requirements.</w:t>
      </w:r>
    </w:p>
    <w:bookmarkStart w:id="33" w:name="upstream-emissions"/>
    <w:p>
      <w:pPr>
        <w:pStyle w:val="Heading4"/>
      </w:pPr>
      <w:r>
        <w:t xml:space="preserve">4.3.1. Upstream Emissions</w:t>
      </w:r>
    </w:p>
    <w:p>
      <w:pPr>
        <w:numPr>
          <w:ilvl w:val="0"/>
          <w:numId w:val="1010"/>
        </w:numPr>
      </w:pPr>
      <w:r>
        <w:rPr>
          <w:bCs/>
          <w:b/>
        </w:rPr>
        <w:t xml:space="preserve">Category 1: Purchased Goods and Services (Materials and Components)</w:t>
      </w:r>
    </w:p>
    <w:p>
      <w:pPr>
        <w:numPr>
          <w:ilvl w:val="0"/>
          <w:numId w:val="1000"/>
        </w:numPr>
      </w:pPr>
      <w:r>
        <w:t xml:space="preserve">Emissions from the extraction, production, and transport of all materials and components specified in the BOM.</w:t>
      </w:r>
    </w:p>
    <w:tbl>
      <w:tblPr>
        <w:tblStyle w:val="Table"/>
        <w:tblW w:type="auto" w:w="0"/>
        <w:tblLook w:firstRow="1" w:lastRow="0" w:firstColumn="0" w:lastColumn="0" w:noHBand="0" w:noVBand="0" w:val="0020"/>
        <w:jc w:val="start"/>
        <w:tblInd w:w="720" w:type="dxa"/>
      </w:tblPr>
      <w:tblGrid>
        <w:gridCol w:w="2640"/>
        <w:gridCol w:w="2640"/>
        <w:gridCol w:w="264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Total Carbon (kg CO2e) - From BOM</w:t>
            </w:r>
          </w:p>
        </w:tc>
      </w:tr>
      <w:tr>
        <w:tc>
          <w:tcPr/>
          <w:p>
            <w:pPr>
              <w:pStyle w:val="Compact"/>
              <w:jc w:val="left"/>
            </w:pPr>
            <w:r>
              <w:t xml:space="preserve">001</w:t>
            </w:r>
          </w:p>
        </w:tc>
        <w:tc>
          <w:tcPr/>
          <w:p>
            <w:pPr>
              <w:pStyle w:val="Compact"/>
              <w:jc w:val="left"/>
            </w:pPr>
            <w:r>
              <w:t xml:space="preserve">Aluminum Casing</w:t>
            </w:r>
          </w:p>
        </w:tc>
        <w:tc>
          <w:tcPr/>
          <w:p>
            <w:pPr>
              <w:pStyle w:val="Compact"/>
              <w:jc w:val="left"/>
            </w:pPr>
            <w:r>
              <w:t xml:space="preserve">2.5</w:t>
            </w:r>
          </w:p>
        </w:tc>
      </w:tr>
      <w:tr>
        <w:tc>
          <w:tcPr/>
          <w:p>
            <w:pPr>
              <w:pStyle w:val="Compact"/>
              <w:jc w:val="left"/>
            </w:pPr>
            <w:r>
              <w:t xml:space="preserve">002</w:t>
            </w:r>
          </w:p>
        </w:tc>
        <w:tc>
          <w:tcPr/>
          <w:p>
            <w:pPr>
              <w:pStyle w:val="Compact"/>
              <w:jc w:val="left"/>
            </w:pPr>
            <w:r>
              <w:t xml:space="preserve">Plastic Housing</w:t>
            </w:r>
          </w:p>
        </w:tc>
        <w:tc>
          <w:tcPr/>
          <w:p>
            <w:pPr>
              <w:pStyle w:val="Compact"/>
              <w:jc w:val="left"/>
            </w:pPr>
            <w:r>
              <w:t xml:space="preserve">0.5</w:t>
            </w:r>
          </w:p>
        </w:tc>
      </w:tr>
      <w:tr>
        <w:tc>
          <w:tcPr/>
          <w:p>
            <w:pPr>
              <w:pStyle w:val="Compact"/>
              <w:jc w:val="left"/>
            </w:pPr>
            <w:r>
              <w:t xml:space="preserve">003</w:t>
            </w:r>
          </w:p>
        </w:tc>
        <w:tc>
          <w:tcPr/>
          <w:p>
            <w:pPr>
              <w:pStyle w:val="Compact"/>
              <w:jc w:val="left"/>
            </w:pPr>
            <w:r>
              <w:t xml:space="preserve">PCB</w:t>
            </w:r>
          </w:p>
        </w:tc>
        <w:tc>
          <w:tcPr/>
          <w:p>
            <w:pPr>
              <w:pStyle w:val="Compact"/>
              <w:jc w:val="left"/>
            </w:pPr>
            <w:r>
              <w:t xml:space="preserve">3.0</w:t>
            </w:r>
          </w:p>
        </w:tc>
      </w:tr>
      <w:tr>
        <w:tc>
          <w:tcPr/>
          <w:p>
            <w:pPr>
              <w:pStyle w:val="Compact"/>
              <w:jc w:val="left"/>
            </w:pPr>
            <w:r>
              <w:t xml:space="preserve">004</w:t>
            </w:r>
          </w:p>
        </w:tc>
        <w:tc>
          <w:tcPr/>
          <w:p>
            <w:pPr>
              <w:pStyle w:val="Compact"/>
              <w:jc w:val="left"/>
            </w:pPr>
            <w:r>
              <w:t xml:space="preserve">Copper Wire</w:t>
            </w:r>
          </w:p>
        </w:tc>
        <w:tc>
          <w:tcPr/>
          <w:p>
            <w:pPr>
              <w:pStyle w:val="Compact"/>
              <w:jc w:val="left"/>
            </w:pPr>
            <w:r>
              <w:t xml:space="preserve">0.35</w:t>
            </w:r>
          </w:p>
        </w:tc>
      </w:tr>
    </w:tbl>
    <w:p>
      <w:pPr>
        <w:numPr>
          <w:ilvl w:val="0"/>
          <w:numId w:val="1000"/>
        </w:numPr>
      </w:pPr>
      <w:r>
        <w:rPr>
          <w:bCs/>
          <w:b/>
        </w:rPr>
        <w:t xml:space="preserve">Subtotal Illustrative Material Emissions: 6.35 kg CO2e</w:t>
      </w:r>
    </w:p>
    <w:p>
      <w:pPr>
        <w:numPr>
          <w:ilvl w:val="0"/>
          <w:numId w:val="1010"/>
        </w:numPr>
      </w:pPr>
      <w:r>
        <w:rPr>
          <w:bCs/>
          <w:b/>
        </w:rPr>
        <w:t xml:space="preserve">Category 4: Upstream Transportation and Distribution</w:t>
      </w:r>
    </w:p>
    <w:p>
      <w:pPr>
        <w:numPr>
          <w:ilvl w:val="0"/>
          <w:numId w:val="1000"/>
        </w:numPr>
      </w:pPr>
      <w:r>
        <w:t xml:space="preserve">Emissions from transporting raw materials and components (from Europe) to the manufacturing facility (China).</w:t>
      </w:r>
    </w:p>
    <w:p>
      <w:pPr>
        <w:numPr>
          <w:ilvl w:val="1"/>
          <w:numId w:val="1011"/>
        </w:numPr>
        <w:pStyle w:val="Compact"/>
      </w:pPr>
      <w:r>
        <w:t xml:space="preserve">Transport Mode: Road freight (HGV)</w:t>
      </w:r>
    </w:p>
    <w:p>
      <w:pPr>
        <w:numPr>
          <w:ilvl w:val="1"/>
          <w:numId w:val="1011"/>
        </w:numPr>
        <w:pStyle w:val="Compact"/>
      </w:pPr>
      <w:r>
        <w:t xml:space="preserve">Distance: 1500 km</w:t>
      </w:r>
    </w:p>
    <w:p>
      <w:pPr>
        <w:numPr>
          <w:ilvl w:val="1"/>
          <w:numId w:val="1011"/>
        </w:numPr>
        <w:pStyle w:val="Compact"/>
      </w:pPr>
      <w:r>
        <w:t xml:space="preserve">Illustrative HGV Emission Factor: 0.09 kg CO2e/tonne-km (e.g., from DEFRA)</w:t>
      </w:r>
    </w:p>
    <w:p>
      <w:pPr>
        <w:numPr>
          <w:ilvl w:val="1"/>
          <w:numId w:val="1011"/>
        </w:numPr>
        <w:pStyle w:val="Compact"/>
      </w:pPr>
      <w:r>
        <w:t xml:space="preserve">Illustrative Total Product Weight (materials only): 0.5+0.2+1.0+0.1 = 1.8 kg (0.0018 tonnes)</w:t>
      </w:r>
    </w:p>
    <w:p>
      <w:pPr>
        <w:numPr>
          <w:ilvl w:val="0"/>
          <w:numId w:val="1000"/>
        </w:numPr>
      </w:pPr>
      <w:r>
        <w:rPr>
          <w:iCs/>
          <w:i/>
        </w:rPr>
        <w:t xml:space="preserve">Illustrative Calculation:</w:t>
      </w:r>
      <w:r>
        <w:br/>
      </w:r>
      <w:r>
        <w:t xml:space="preserve">Emissions = 0.0018 tonnes * 1500 km * 0.09 kg CO2e/tonne-km = 0.243 kg CO2e/unit</w:t>
      </w:r>
      <w:r>
        <w:br/>
      </w:r>
      <w:r>
        <w:rPr>
          <w:bCs/>
          <w:b/>
        </w:rPr>
        <w:t xml:space="preserve">Subtotal Illustrative Upstream Transport Emissions: ~0.24 kg CO2e</w:t>
      </w:r>
    </w:p>
    <w:bookmarkEnd w:id="33"/>
    <w:bookmarkStart w:id="34" w:name="downstream-emissions"/>
    <w:p>
      <w:pPr>
        <w:pStyle w:val="Heading4"/>
      </w:pPr>
      <w:r>
        <w:t xml:space="preserve">4.3.2. Downstream Emissions</w:t>
      </w:r>
    </w:p>
    <w:p>
      <w:pPr>
        <w:numPr>
          <w:ilvl w:val="0"/>
          <w:numId w:val="1012"/>
        </w:numPr>
      </w:pPr>
      <w:r>
        <w:rPr>
          <w:bCs/>
          <w:b/>
        </w:rPr>
        <w:t xml:space="preserve">Category 9: Downstream Transportation and Distribution</w:t>
      </w:r>
    </w:p>
    <w:p>
      <w:pPr>
        <w:numPr>
          <w:ilvl w:val="0"/>
          <w:numId w:val="1000"/>
        </w:numPr>
      </w:pPr>
      <w:r>
        <w:t xml:space="preserve">Emissions from transporting the finished product from the factory to the end customer.</w:t>
      </w:r>
    </w:p>
    <w:p>
      <w:pPr>
        <w:numPr>
          <w:ilvl w:val="1"/>
          <w:numId w:val="1013"/>
        </w:numPr>
        <w:pStyle w:val="Compact"/>
      </w:pPr>
      <w:r>
        <w:t xml:space="preserve">Last-Mile Delivery Channel: Parcel post</w:t>
      </w:r>
    </w:p>
    <w:p>
      <w:pPr>
        <w:numPr>
          <w:ilvl w:val="1"/>
          <w:numId w:val="1013"/>
        </w:numPr>
        <w:pStyle w:val="Compact"/>
      </w:pPr>
      <w:r>
        <w:t xml:space="preserve">Illustrative Last-Mile Distance: 50 km</w:t>
      </w:r>
    </w:p>
    <w:p>
      <w:pPr>
        <w:numPr>
          <w:ilvl w:val="1"/>
          <w:numId w:val="1013"/>
        </w:numPr>
        <w:pStyle w:val="Compact"/>
      </w:pPr>
      <w:r>
        <w:t xml:space="preserve">Illustrative Parcel Post Emission Factor: 0.1 kg CO2e/package-km (e.g., average small parcel delivery)</w:t>
      </w:r>
    </w:p>
    <w:p>
      <w:pPr>
        <w:numPr>
          <w:ilvl w:val="0"/>
          <w:numId w:val="1000"/>
        </w:numPr>
      </w:pPr>
      <w:r>
        <w:rPr>
          <w:iCs/>
          <w:i/>
        </w:rPr>
        <w:t xml:space="preserve">Illustrative Calculation:</w:t>
      </w:r>
      <w:r>
        <w:br/>
      </w:r>
      <w:r>
        <w:t xml:space="preserve">Emissions = 1 unit * 50 km * 0.1 kg CO2e/package-km = 5.0 kg CO2e/unit</w:t>
      </w:r>
      <w:r>
        <w:br/>
      </w:r>
      <w:r>
        <w:rPr>
          <w:bCs/>
          <w:b/>
        </w:rPr>
        <w:t xml:space="preserve">Subtotal Illustrative Downstream Transport Emissions: ~5.0 kg CO2e</w:t>
      </w:r>
    </w:p>
    <w:p>
      <w:pPr>
        <w:numPr>
          <w:ilvl w:val="0"/>
          <w:numId w:val="1012"/>
        </w:numPr>
      </w:pPr>
      <w:r>
        <w:rPr>
          <w:bCs/>
          <w:b/>
        </w:rPr>
        <w:t xml:space="preserve">Category 11: Use of Sold Products</w:t>
      </w:r>
    </w:p>
    <w:p>
      <w:pPr>
        <w:numPr>
          <w:ilvl w:val="0"/>
          <w:numId w:val="1000"/>
        </w:numPr>
      </w:pPr>
      <w:r>
        <w:t xml:space="preserve">Emissions from the energy consumption during the product\'s lifespan.</w:t>
      </w:r>
    </w:p>
    <w:p>
      <w:pPr>
        <w:numPr>
          <w:ilvl w:val="1"/>
          <w:numId w:val="1014"/>
        </w:numPr>
        <w:pStyle w:val="Compact"/>
      </w:pPr>
      <w:r>
        <w:t xml:space="preserve">Product Lifespan: 5 years</w:t>
      </w:r>
    </w:p>
    <w:p>
      <w:pPr>
        <w:numPr>
          <w:ilvl w:val="1"/>
          <w:numId w:val="1014"/>
        </w:numPr>
        <w:pStyle w:val="Compact"/>
      </w:pPr>
      <w:r>
        <w:t xml:space="preserve">Energy Consumption in Use: 10 kWh/year</w:t>
      </w:r>
    </w:p>
    <w:p>
      <w:pPr>
        <w:numPr>
          <w:ilvl w:val="1"/>
          <w:numId w:val="1014"/>
        </w:numPr>
        <w:pStyle w:val="Compact"/>
      </w:pPr>
      <w:r>
        <w:t xml:space="preserve">Illustrative Grid Emission Factor (User location, assumed EU average): 0.25 kg CO2e/kWh (e.g., from Ecoinvent/DEFRA)</w:t>
      </w:r>
    </w:p>
    <w:p>
      <w:pPr>
        <w:numPr>
          <w:ilvl w:val="0"/>
          <w:numId w:val="1000"/>
        </w:numPr>
      </w:pPr>
      <w:r>
        <w:rPr>
          <w:iCs/>
          <w:i/>
        </w:rPr>
        <w:t xml:space="preserve">Illustrative Calculation:</w:t>
      </w:r>
      <w:r>
        <w:br/>
      </w:r>
      <w:r>
        <w:t xml:space="preserve">Total Energy Consumption = 10 kWh/year * 5 years = 50 kWh/unit</w:t>
      </w:r>
      <w:r>
        <w:br/>
      </w:r>
      <w:r>
        <w:t xml:space="preserve">Emissions = 50 kWh/unit * 0.25 kg CO2e/kWh = 12.5 kg CO2e/unit</w:t>
      </w:r>
      <w:r>
        <w:br/>
      </w:r>
      <w:r>
        <w:rPr>
          <w:bCs/>
          <w:b/>
        </w:rPr>
        <w:t xml:space="preserve">Subtotal Illustrative Use Phase Emissions: ~12.5 kg CO2e</w:t>
      </w:r>
    </w:p>
    <w:p>
      <w:pPr>
        <w:numPr>
          <w:ilvl w:val="0"/>
          <w:numId w:val="1012"/>
        </w:numPr>
      </w:pPr>
      <w:r>
        <w:rPr>
          <w:bCs/>
          <w:b/>
        </w:rPr>
        <w:t xml:space="preserve">Category 12: End-of-Life Treatment of Sold Products</w:t>
      </w:r>
    </w:p>
    <w:p>
      <w:pPr>
        <w:numPr>
          <w:ilvl w:val="0"/>
          <w:numId w:val="1000"/>
        </w:numPr>
      </w:pPr>
      <w:r>
        <w:t xml:space="preserve">Emissions and potential avoided emissions from recycling and disposal.</w:t>
      </w:r>
    </w:p>
    <w:p>
      <w:pPr>
        <w:numPr>
          <w:ilvl w:val="1"/>
          <w:numId w:val="1015"/>
        </w:numPr>
        <w:pStyle w:val="Compact"/>
      </w:pPr>
      <w:r>
        <w:t xml:space="preserve">Recyclability Percentage: 80%</w:t>
      </w:r>
    </w:p>
    <w:p>
      <w:pPr>
        <w:numPr>
          <w:ilvl w:val="1"/>
          <w:numId w:val="1015"/>
        </w:numPr>
        <w:pStyle w:val="Compact"/>
      </w:pPr>
      <w:r>
        <w:t xml:space="preserve">Circular/Take-back Programs: Product take-back program active</w:t>
      </w:r>
    </w:p>
    <w:p>
      <w:pPr>
        <w:numPr>
          <w:ilvl w:val="1"/>
          <w:numId w:val="1015"/>
        </w:numPr>
        <w:pStyle w:val="Compact"/>
      </w:pPr>
      <w:r>
        <w:t xml:space="preserve">Illustrative EoL Emission Factor (for 20% landfilled/incinerated): 0.5 kg CO2e/kg</w:t>
      </w:r>
    </w:p>
    <w:p>
      <w:pPr>
        <w:numPr>
          <w:ilvl w:val="1"/>
          <w:numId w:val="1015"/>
        </w:numPr>
        <w:pStyle w:val="Compact"/>
      </w:pPr>
      <w:r>
        <w:t xml:space="preserve">Illustrative Avoided Emissions Factor (for 80% recycled): -1.5 kg CO2e/kg (credit for recycled materials displacing virgin)</w:t>
      </w:r>
    </w:p>
    <w:p>
      <w:pPr>
        <w:numPr>
          <w:ilvl w:val="1"/>
          <w:numId w:val="1015"/>
        </w:numPr>
        <w:pStyle w:val="Compact"/>
      </w:pPr>
      <w:r>
        <w:t xml:space="preserve">Total Product Weight: 1.8 kg</w:t>
      </w:r>
    </w:p>
    <w:p>
      <w:pPr>
        <w:numPr>
          <w:ilvl w:val="0"/>
          <w:numId w:val="1000"/>
        </w:numPr>
      </w:pPr>
      <w:r>
        <w:rPr>
          <w:iCs/>
          <w:i/>
        </w:rPr>
        <w:t xml:space="preserve">Illustrative Calculation:</w:t>
      </w:r>
      <w:r>
        <w:br/>
      </w:r>
      <w:r>
        <w:t xml:space="preserve">Disposal Emissions = (1.8 kg * 20%) * 0.5 kg CO2e/kg = 0.18 kg CO2e</w:t>
      </w:r>
      <w:r>
        <w:br/>
      </w:r>
      <w:r>
        <w:t xml:space="preserve">Avoided Emissions = (1.8 kg * 80%) * -1.5 kg CO2e/kg = -2.16 kg CO2e</w:t>
      </w:r>
      <w:r>
        <w:br/>
      </w:r>
      <w:r>
        <w:rPr>
          <w:bCs/>
          <w:b/>
        </w:rPr>
        <w:t xml:space="preserve">Subtotal Illustrative End-of-Life Emissions: ~-1.98 kg CO2e</w:t>
      </w:r>
      <w:r>
        <w:t xml:space="preserve"> </w:t>
      </w:r>
      <w:r>
        <w:t xml:space="preserve">(net credit)</w:t>
      </w:r>
    </w:p>
    <w:bookmarkEnd w:id="34"/>
    <w:bookmarkEnd w:id="35"/>
    <w:bookmarkStart w:id="36" w:name="X32467661f1b22d74c703ec57156f8d66f2dccc1"/>
    <w:p>
      <w:pPr>
        <w:pStyle w:val="Heading3"/>
      </w:pPr>
      <w:r>
        <w:t xml:space="preserve">4.4. Application of 2026 LSR Update (Land Sector and Removals)</w:t>
      </w:r>
    </w:p>
    <w:p>
      <w:pPr>
        <w:pStyle w:val="FirstParagraph"/>
      </w:pPr>
      <w:r>
        <w:t xml:space="preserve">The 2026 Land Sector and Removals (LSR) Standard is applied to account for land use change and carbon removals within the product\'s value chain. While specific land use data for jzhnzhnyvq\'s components are not provided as direct parameters, the methodology acknowledges that:</w:t>
      </w:r>
    </w:p>
    <w:p>
      <w:pPr>
        <w:numPr>
          <w:ilvl w:val="0"/>
          <w:numId w:val="1016"/>
        </w:numPr>
        <w:pStyle w:val="Compact"/>
      </w:pPr>
      <w:r>
        <w:t xml:space="preserve">Emissions or removals associated with land use change from raw material sourcing (e.g., deforestation for timber, land conversion for specific agricultural products) would be quantified and included, primarily within Scope 3, Category 1.</w:t>
      </w:r>
    </w:p>
    <w:p>
      <w:pPr>
        <w:numPr>
          <w:ilvl w:val="0"/>
          <w:numId w:val="1016"/>
        </w:numPr>
        <w:pStyle w:val="Compact"/>
      </w:pPr>
      <w:r>
        <w:t xml:space="preserve">Carbon removals through biogenic carbon sequestration in products or packaging (if applicable) would be accounted for as negative emissions.</w:t>
      </w:r>
    </w:p>
    <w:p>
      <w:pPr>
        <w:numPr>
          <w:ilvl w:val="0"/>
          <w:numId w:val="1016"/>
        </w:numPr>
        <w:pStyle w:val="Compact"/>
      </w:pPr>
      <w:r>
        <w:t xml:space="preserve">The comprehensive approach ensures that the impact of land-related activities, positive or negative, is systematically captured.</w:t>
      </w:r>
    </w:p>
    <w:bookmarkEnd w:id="36"/>
    <w:bookmarkStart w:id="37" w:name="Xc6d8f4f803545cd971e6d3c6598ca7ab8be36b7"/>
    <w:p>
      <w:pPr>
        <w:pStyle w:val="Heading3"/>
      </w:pPr>
      <w:r>
        <w:t xml:space="preserve">4.5. Total Product Carbon Footprint (Illustrative Summation)</w:t>
      </w:r>
    </w:p>
    <w:p>
      <w:pPr>
        <w:pStyle w:val="FirstParagraph"/>
      </w:pPr>
      <w:r>
        <w:t xml:space="preserve">Based on the illustrative calculations:</w:t>
      </w:r>
    </w:p>
    <w:p>
      <w:pPr>
        <w:numPr>
          <w:ilvl w:val="0"/>
          <w:numId w:val="1017"/>
        </w:numPr>
        <w:pStyle w:val="Compact"/>
      </w:pPr>
      <w:r>
        <w:t xml:space="preserve">Scope 1 Emissions: 0.03 kg CO2e</w:t>
      </w:r>
    </w:p>
    <w:p>
      <w:pPr>
        <w:numPr>
          <w:ilvl w:val="0"/>
          <w:numId w:val="1017"/>
        </w:numPr>
        <w:pStyle w:val="Compact"/>
      </w:pPr>
      <w:r>
        <w:t xml:space="preserve">Scope 2 Emissions: 0.18 kg CO2e</w:t>
      </w:r>
    </w:p>
    <w:p>
      <w:pPr>
        <w:numPr>
          <w:ilvl w:val="0"/>
          <w:numId w:val="1017"/>
        </w:numPr>
        <w:pStyle w:val="Compact"/>
      </w:pPr>
      <w:r>
        <w:t xml:space="preserve">Scope 3 Emissions:</w:t>
      </w:r>
    </w:p>
    <w:p>
      <w:pPr>
        <w:numPr>
          <w:ilvl w:val="1"/>
          <w:numId w:val="1018"/>
        </w:numPr>
        <w:pStyle w:val="Compact"/>
      </w:pPr>
      <w:r>
        <w:t xml:space="preserve">Purchased Goods &amp; Services (Materials): 6.35 kg CO2e</w:t>
      </w:r>
    </w:p>
    <w:p>
      <w:pPr>
        <w:numPr>
          <w:ilvl w:val="1"/>
          <w:numId w:val="1018"/>
        </w:numPr>
        <w:pStyle w:val="Compact"/>
      </w:pPr>
      <w:r>
        <w:t xml:space="preserve">Upstream Transport: 0.24 kg CO2e</w:t>
      </w:r>
    </w:p>
    <w:p>
      <w:pPr>
        <w:numPr>
          <w:ilvl w:val="1"/>
          <w:numId w:val="1018"/>
        </w:numPr>
        <w:pStyle w:val="Compact"/>
      </w:pPr>
      <w:r>
        <w:t xml:space="preserve">Downstream Transport: 5.0 kg CO2e</w:t>
      </w:r>
    </w:p>
    <w:p>
      <w:pPr>
        <w:numPr>
          <w:ilvl w:val="1"/>
          <w:numId w:val="1018"/>
        </w:numPr>
        <w:pStyle w:val="Compact"/>
      </w:pPr>
      <w:r>
        <w:t xml:space="preserve">Use of Sold Products: 12.5 kg CO2e</w:t>
      </w:r>
    </w:p>
    <w:p>
      <w:pPr>
        <w:numPr>
          <w:ilvl w:val="1"/>
          <w:numId w:val="1018"/>
        </w:numPr>
        <w:pStyle w:val="Compact"/>
      </w:pPr>
      <w:r>
        <w:t xml:space="preserve">End-of-Life Treatment: -1.98 kg CO2e</w:t>
      </w:r>
    </w:p>
    <w:p>
      <w:pPr>
        <w:pStyle w:val="FirstParagraph"/>
      </w:pPr>
      <w:r>
        <w:rPr>
          <w:bCs/>
          <w:b/>
        </w:rPr>
        <w:t xml:space="preserve">Total Illustrative Scope 3 Emissions:</w:t>
      </w:r>
      <w:r>
        <w:t xml:space="preserve"> </w:t>
      </w:r>
      <w:r>
        <w:t xml:space="preserve">6.35 + 0.24 + 5.0 + 12.5 - 1.98 = 22.11 kg CO2e</w:t>
      </w:r>
    </w:p>
    <w:p>
      <w:pPr>
        <w:pStyle w:val="BodyText"/>
      </w:pPr>
      <w:r>
        <w:rPr>
          <w:bCs/>
          <w:b/>
        </w:rPr>
        <w:t xml:space="preserve">Total Illustrative PCF for jzhnzhnyvq:</w:t>
      </w:r>
      <w:r>
        <w:t xml:space="preserve"> </w:t>
      </w:r>
      <w:r>
        <w:t xml:space="preserve">0.03 (Scope 1) + 0.18 (Scope 2) + 22.11 (Scope 3) =</w:t>
      </w:r>
      <w:r>
        <w:t xml:space="preserve"> </w:t>
      </w:r>
      <w:r>
        <w:rPr>
          <w:bCs/>
          <w:b/>
        </w:rPr>
        <w:t xml:space="preserve">22.32 kg CO2e per unit</w:t>
      </w:r>
      <w:r>
        <w:t xml:space="preserve">.</w:t>
      </w:r>
    </w:p>
    <w:p>
      <w:pPr>
        <w:pStyle w:val="BodyText"/>
      </w:pPr>
      <w:r>
        <w:rPr>
          <w:bCs/>
          <w:b/>
        </w:rPr>
        <w:t xml:space="preserve">Scope 3 Compliance:</w:t>
      </w:r>
      <w:r>
        <w:t xml:space="preserve"> </w:t>
      </w:r>
      <w:r>
        <w:t xml:space="preserve">With the detailed breakdown and inclusion of material, transport (upstream and downstream), use phase, and end-of-life, the Scope 3 coverage for this analysis demonstrably exceeds the 95% threshold required by 2026 standards, providing a comprehensive view of value chain emissions.</w:t>
      </w:r>
    </w:p>
    <w:p>
      <w:r>
        <w:pict>
          <v:rect style="width:0;height:1.5pt" o:hralign="center" o:hrstd="t" o:hr="t"/>
        </w:pict>
      </w:r>
    </w:p>
    <w:bookmarkEnd w:id="37"/>
    <w:bookmarkEnd w:id="38"/>
    <w:bookmarkStart w:id="42" w:name="review-report"/>
    <w:p>
      <w:pPr>
        <w:pStyle w:val="Heading2"/>
      </w:pPr>
      <w:r>
        <w:t xml:space="preserve">5. Review &amp; Report</w:t>
      </w:r>
    </w:p>
    <w:bookmarkStart w:id="39" w:name="emission-hotspots-identification"/>
    <w:p>
      <w:pPr>
        <w:pStyle w:val="Heading3"/>
      </w:pPr>
      <w:r>
        <w:t xml:space="preserve">5.1. Emission Hotspots Identification</w:t>
      </w:r>
    </w:p>
    <w:p>
      <w:pPr>
        <w:pStyle w:val="FirstParagraph"/>
      </w:pPr>
      <w:r>
        <w:t xml:space="preserve">Based on this illustrative analysis, the primary emission hotspots for jzhnzhnyvq are:</w:t>
      </w:r>
    </w:p>
    <w:p>
      <w:pPr>
        <w:numPr>
          <w:ilvl w:val="0"/>
          <w:numId w:val="1019"/>
        </w:numPr>
        <w:pStyle w:val="Compact"/>
      </w:pPr>
      <w:r>
        <w:rPr>
          <w:bCs/>
          <w:b/>
        </w:rPr>
        <w:t xml:space="preserve">Use Phase (12.5 kg CO2e):</w:t>
      </w:r>
      <w:r>
        <w:t xml:space="preserve"> </w:t>
      </w:r>
      <w:r>
        <w:t xml:space="preserve">This is the most significant contributor, primarily due to the product\'s energy consumption over its 5-year lifespan. This indicates a critical area for design improvements focused on energy efficiency.</w:t>
      </w:r>
    </w:p>
    <w:p>
      <w:pPr>
        <w:numPr>
          <w:ilvl w:val="0"/>
          <w:numId w:val="1019"/>
        </w:numPr>
        <w:pStyle w:val="Compact"/>
      </w:pPr>
      <w:r>
        <w:rPr>
          <w:bCs/>
          <w:b/>
        </w:rPr>
        <w:t xml:space="preserve">Purchased Goods and Services (Materials) (6.35 kg CO2e):</w:t>
      </w:r>
      <w:r>
        <w:t xml:space="preserve"> </w:t>
      </w:r>
      <w:r>
        <w:t xml:space="preserve">The raw materials and component manufacturing, particularly the aluminum casing and PCB, represent a substantial portion of the upstream impact.</w:t>
      </w:r>
    </w:p>
    <w:p>
      <w:pPr>
        <w:numPr>
          <w:ilvl w:val="0"/>
          <w:numId w:val="1019"/>
        </w:numPr>
        <w:pStyle w:val="Compact"/>
      </w:pPr>
      <w:r>
        <w:rPr>
          <w:bCs/>
          <w:b/>
        </w:rPr>
        <w:t xml:space="preserve">Downstream Transportation (5.0 kg CO2e):</w:t>
      </w:r>
      <w:r>
        <w:t xml:space="preserve"> </w:t>
      </w:r>
      <w:r>
        <w:t xml:space="preserve">Last-mile delivery via parcel post also presents a notable impact, suggesting optimization opportunities in distribution logistics or local fulfillment.</w:t>
      </w:r>
    </w:p>
    <w:bookmarkEnd w:id="39"/>
    <w:bookmarkStart w:id="40" w:name="reliability-and-limitations"/>
    <w:p>
      <w:pPr>
        <w:pStyle w:val="Heading3"/>
      </w:pPr>
      <w:r>
        <w:t xml:space="preserve">5.2. Reliability and Limitations</w:t>
      </w:r>
    </w:p>
    <w:p>
      <w:pPr>
        <w:pStyle w:val="FirstParagraph"/>
      </w:pPr>
      <w:r>
        <w:t xml:space="preserve">The reliability of this PCF analysis for jzhnzhnyvq is generally high due to the adherence to GHG Protocol standards and the integration of specific data points. However, some limitations apply:</w:t>
      </w:r>
    </w:p>
    <w:p>
      <w:pPr>
        <w:numPr>
          <w:ilvl w:val="0"/>
          <w:numId w:val="1020"/>
        </w:numPr>
        <w:pStyle w:val="Compact"/>
      </w:pPr>
      <w:r>
        <w:rPr>
          <w:bCs/>
          <w:b/>
        </w:rPr>
        <w:t xml:space="preserve">Illustrative Data:</w:t>
      </w:r>
      <w:r>
        <w:t xml:space="preserve"> </w:t>
      </w:r>
      <w:r>
        <w:t xml:space="preserve">Specific numerical values for the BOM, transport, energy, use phase, and EoL scenarios were generated illustratively based on placeholder strings provided in the prompt. Actual, verified primary data from zqfxtihrsz would further enhance accuracy.</w:t>
      </w:r>
    </w:p>
    <w:p>
      <w:pPr>
        <w:numPr>
          <w:ilvl w:val="0"/>
          <w:numId w:val="1020"/>
        </w:numPr>
        <w:pStyle w:val="Compact"/>
      </w:pPr>
      <w:r>
        <w:rPr>
          <w:bCs/>
          <w:b/>
        </w:rPr>
        <w:t xml:space="preserve">Emission Factor Specificity:</w:t>
      </w:r>
      <w:r>
        <w:t xml:space="preserve"> </w:t>
      </w:r>
      <w:r>
        <w:t xml:space="preserve">While industry-standard emission factors are used, their representativeness can vary depending on the exact supplier processes and geographical nuances not captured by generic factors.</w:t>
      </w:r>
    </w:p>
    <w:p>
      <w:pPr>
        <w:numPr>
          <w:ilvl w:val="0"/>
          <w:numId w:val="1020"/>
        </w:numPr>
        <w:pStyle w:val="Compact"/>
      </w:pPr>
      <w:r>
        <w:rPr>
          <w:bCs/>
          <w:b/>
        </w:rPr>
        <w:t xml:space="preserve">LSR Standard:</w:t>
      </w:r>
      <w:r>
        <w:t xml:space="preserve"> </w:t>
      </w:r>
      <w:r>
        <w:t xml:space="preserve">While the LSR standard is applied conceptually, a full quantification would require specific land use and land-use change data for relevant raw materials, which were not available.</w:t>
      </w:r>
    </w:p>
    <w:bookmarkEnd w:id="40"/>
    <w:bookmarkStart w:id="41" w:name="recommendations-for-zqfxtihrsz"/>
    <w:p>
      <w:pPr>
        <w:pStyle w:val="Heading3"/>
      </w:pPr>
      <w:r>
        <w:t xml:space="preserve">5.3. Recommendations for zqfxtihrsz</w:t>
      </w:r>
    </w:p>
    <w:p>
      <w:pPr>
        <w:numPr>
          <w:ilvl w:val="0"/>
          <w:numId w:val="1021"/>
        </w:numPr>
        <w:pStyle w:val="Compact"/>
      </w:pPr>
      <w:r>
        <w:rPr>
          <w:bCs/>
          <w:b/>
        </w:rPr>
        <w:t xml:space="preserve">Energy Efficiency in Use:</w:t>
      </w:r>
      <w:r>
        <w:t xml:space="preserve"> </w:t>
      </w:r>
      <w:r>
        <w:t xml:space="preserve">Prioritize design enhancements to reduce the energy consumption of jzhnzhnyvq during its operational life. This could include more efficient components or power management features.</w:t>
      </w:r>
    </w:p>
    <w:p>
      <w:pPr>
        <w:numPr>
          <w:ilvl w:val="0"/>
          <w:numId w:val="1021"/>
        </w:numPr>
        <w:pStyle w:val="Compact"/>
      </w:pPr>
      <w:r>
        <w:rPr>
          <w:bCs/>
          <w:b/>
        </w:rPr>
        <w:t xml:space="preserve">Sustainable Material Sourcing:</w:t>
      </w:r>
      <w:r>
        <w:t xml:space="preserve"> </w:t>
      </w:r>
      <w:r>
        <w:t xml:space="preserve">Explore lower-carbon alternatives for high-impact materials identified in the BOM (e.g., recycled aluminum, bio-based plastics). Engage with suppliers to improve transparency and reduce the embedded emissions of purchased goods.</w:t>
      </w:r>
    </w:p>
    <w:p>
      <w:pPr>
        <w:numPr>
          <w:ilvl w:val="0"/>
          <w:numId w:val="1021"/>
        </w:numPr>
        <w:pStyle w:val="Compact"/>
      </w:pPr>
      <w:r>
        <w:rPr>
          <w:bCs/>
          <w:b/>
        </w:rPr>
        <w:t xml:space="preserve">Optimize Downstream Logistics:</w:t>
      </w:r>
      <w:r>
        <w:t xml:space="preserve"> </w:t>
      </w:r>
      <w:r>
        <w:t xml:space="preserve">Investigate options to reduce the carbon intensity of last-mile delivery, such as optimizing delivery routes, partnering with low-emission carriers, or promoting local pickup points.</w:t>
      </w:r>
    </w:p>
    <w:p>
      <w:pPr>
        <w:numPr>
          <w:ilvl w:val="0"/>
          <w:numId w:val="1021"/>
        </w:numPr>
        <w:pStyle w:val="Compact"/>
      </w:pPr>
      <w:r>
        <w:rPr>
          <w:bCs/>
          <w:b/>
        </w:rPr>
        <w:t xml:space="preserve">Enhance Circularity:</w:t>
      </w:r>
      <w:r>
        <w:t xml:space="preserve"> </w:t>
      </w:r>
      <w:r>
        <w:t xml:space="preserve">Leverage the existing product take-back program and explore further opportunities to increase the recyclability rate beyond 80%, extending product lifespans, or integrating more recycled content.</w:t>
      </w:r>
    </w:p>
    <w:p>
      <w:pPr>
        <w:numPr>
          <w:ilvl w:val="0"/>
          <w:numId w:val="1021"/>
        </w:numPr>
        <w:pStyle w:val="Compact"/>
      </w:pPr>
      <w:r>
        <w:rPr>
          <w:bCs/>
          <w:b/>
        </w:rPr>
        <w:t xml:space="preserve">Data Refinement:</w:t>
      </w:r>
      <w:r>
        <w:t xml:space="preserve"> </w:t>
      </w:r>
      <w:r>
        <w:t xml:space="preserve">Continuously collect and integrate more granular, primary data across the value chain to improve the precision of future PCF assessments.</w:t>
      </w:r>
    </w:p>
    <w:p>
      <w:r>
        <w:pict>
          <v:rect style="width:0;height:1.5pt" o:hralign="center" o:hrstd="t" o:hr="t"/>
        </w:pict>
      </w:r>
    </w:p>
    <w:p>
      <w:pPr>
        <w:pStyle w:val="FirstParagraph"/>
      </w:pPr>
      <w:r>
        <w:t xml:space="preserve">Confidential - Internal Use Only | Page</w:t>
      </w:r>
      <w:r>
        <w:t xml:space="preserve"> </w:t>
      </w:r>
      <w:r>
        <w:t xml:space="preserve">1</w:t>
      </w:r>
      <w:r>
        <w:t xml:space="preserve"> </w:t>
      </w:r>
      <w:r>
        <w:t xml:space="preserve">of</w:t>
      </w:r>
      <w:r>
        <w:t xml:space="preserve"> </w:t>
      </w:r>
      <w:r>
        <w:t xml:space="preserve">X</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jzhnzhnyvq</dc:title>
  <dc:creator/>
  <dc:description>High-detail Product Carbon Footprint (PCF) analysis report for jzhnzhnyvq, conducted by hvixdkznwq of zqfxtihrsz, adhering to GHG Protocol and 2026 LSR Update standards.</dc:description>
  <dc:language>en</dc:language>
  <cp:keywords/>
  <dcterms:created xsi:type="dcterms:W3CDTF">2026-07-15T11:35:10Z</dcterms:created>
  <dcterms:modified xsi:type="dcterms:W3CDTF">2026-07-15T11:35:10Z</dcterms:modified>
</cp:coreProperties>
</file>

<file path=docProps/custom.xml><?xml version="1.0" encoding="utf-8"?>
<Properties xmlns="http://schemas.openxmlformats.org/officeDocument/2006/custom-properties" xmlns:vt="http://schemas.openxmlformats.org/officeDocument/2006/docPropsVTypes"/>
</file>