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jsuqqofudm</w:t>
      </w:r>
      <w:r>
        <w:t xml:space="preserve"> </w:t>
      </w:r>
      <w:r>
        <w:t xml:space="preserve">-</w:t>
      </w:r>
      <w:r>
        <w:t xml:space="preserve"> </w:t>
      </w:r>
      <w:r>
        <w:t xml:space="preserve">nozpzrkpzw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jsuqqofudm**</w:t>
      </w:r>
    </w:p>
    <w:p>
      <w:pPr>
        <w:pStyle w:val="BodyText"/>
      </w:pPr>
      <w:r>
        <w:t xml:space="preserve">**Company: nozpzrkpzw**</w:t>
      </w:r>
    </w:p>
    <w:p>
      <w:pPr>
        <w:pStyle w:val="BodyText"/>
      </w:pPr>
      <w:r>
        <w:t xml:space="preserve">**Accounting Standard: GHG Protocol**</w:t>
      </w:r>
    </w:p>
    <w:p>
      <w:pPr>
        <w:pStyle w:val="BodyText"/>
      </w:pPr>
      <w:r>
        <w:t xml:space="preserve">**Senior Sustainability Consultant: esygpsodrq**</w:t>
      </w:r>
    </w:p>
    <w:p>
      <w:pPr>
        <w:pStyle w:val="BodyText"/>
      </w:pPr>
      <w:r>
        <w:t xml:space="preserve">Disclaimer: This report is generated based on available data and industry standards. While efforts have been made to ensure accuracy and adherence to specified parameters, this analysis provides an estimation of the Product Carbon Footprint and should be used for informational and strategic planning purposes.</w:t>
      </w:r>
    </w:p>
    <w:p>
      <w:pPr>
        <w:pStyle w:val="BodyText"/>
      </w:pPr>
      <w:r>
        <w:t xml:space="preserve">Generated Date: June 3, 2026</w:t>
      </w:r>
    </w:p>
    <w:bookmarkEnd w:id="20"/>
    <w:bookmarkStart w:id="21" w:name="executive-summary"/>
    <w:p>
      <w:pPr>
        <w:pStyle w:val="Heading1"/>
      </w:pPr>
      <w:r>
        <w:t xml:space="preserve">Executive Summary</w:t>
      </w:r>
    </w:p>
    <w:p>
      <w:pPr>
        <w:pStyle w:val="FirstParagraph"/>
      </w:pPr>
      <w:r>
        <w:t xml:space="preserve">This report presents a high-detail Product Carbon Footprint (PCF) analysis for **jsuqqofudm**, manufactured by **nozpzrkpzw**, performed by **esygpsodrq**, Senior Sustainability Consultant. The analysis adheres to the Greenhouse Gas (GHG) Protocol, incorporating the latest 2026 Land Sector and Removals (LSR) Standard updates and the stringent 95% Scope 3 coverage requirement. The study evaluates emissions across the product\'s lifecycle from raw material extraction to end-of-life, with a system boundary set at \'factory_gate\' for initial assessment and extended to cover the full lifecycle. The geographic scope focuses on final production in China with a supply chain focus on Europe. Key insights reveal significant emission hotspots in material acquisition and the manufacturing energy consumption, despite efforts in renewable energy integration.</w:t>
      </w:r>
    </w:p>
    <w:p>
      <w:r>
        <w:pict>
          <v:rect style="width:0;height:1.5pt" o:hralign="center" o:hrstd="t" o:hr="t"/>
        </w:pict>
      </w:r>
    </w:p>
    <w:bookmarkEnd w:id="21"/>
    <w:bookmarkStart w:id="26" w:name="methodology-and-scope-definition"/>
    <w:p>
      <w:pPr>
        <w:pStyle w:val="Heading1"/>
      </w:pPr>
      <w:r>
        <w:t xml:space="preserve">1. Methodology and Scope Definition</w:t>
      </w:r>
    </w:p>
    <w:p>
      <w:pPr>
        <w:pStyle w:val="FirstParagraph"/>
      </w:pPr>
      <w:r>
        <w:t xml:space="preserve">The Product Carbon Footprint (PCF) for jsuqqofudm has been calculated following the five-step methodology prescribed: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This analysis strictly adheres to the **GHG Protocol** for accounting and reporting.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The **2026 Land Sector and Removals (LSR) Standard** has been applied to account for land use and carbon removals, particularly in the context of raw material sourcing and any biogenic carbon flows. The LSR Standard, effective January 1, 2027, provides guidelines for quantifying, reporting, and tracking land emissions and CO₂ removals, which is crucial for companies with significant land sector activities or those reporting CO₂ removals. While the standard primarily applies to agricultural emissions and CO2 removal technologies, it ensures relevant land-related impacts are considered where applicable within the value chain.</w:t>
      </w:r>
    </w:p>
    <w:p>
      <w:pPr>
        <w:pStyle w:val="BodyText"/>
      </w:pPr>
      <w:r>
        <w:t xml:space="preserve">Furthermore, **Scope 3 compliance** has been meticulously ensured, aiming for at least 95% coverage of required Scope 3 emissions as per the GHG Protocol\'s 2026 requirements. The 2026 revisions to the Scope 3 Standard introduce a mandatory 95% inclusion threshold, compelling organizations to quantify all required Scope 3 sources and to disclose and justify any exclusions. It also mandates disaggregation of emissions by data type (primary activity data, spend-based, industry-based) to enhance transparency and reporting credibility.</w:t>
      </w:r>
    </w:p>
    <w:bookmarkStart w:id="22" w:name="functional-unit"/>
    <w:p>
      <w:pPr>
        <w:pStyle w:val="Heading2"/>
      </w:pPr>
      <w:r>
        <w:t xml:space="preserve">1.1 Functional Unit</w:t>
      </w:r>
    </w:p>
    <w:p>
      <w:pPr>
        <w:pStyle w:val="FirstParagraph"/>
      </w:pPr>
      <w:r>
        <w:t xml:space="preserve">The defined functional unit for this PCF analysis is **1.0 unit of jsuqqofudm**.</w:t>
      </w:r>
    </w:p>
    <w:bookmarkEnd w:id="22"/>
    <w:bookmarkStart w:id="23" w:name="system-boundary"/>
    <w:p>
      <w:pPr>
        <w:pStyle w:val="Heading2"/>
      </w:pPr>
      <w:r>
        <w:t xml:space="preserve">1.2 System Boundary</w:t>
      </w:r>
    </w:p>
    <w:p>
      <w:pPr>
        <w:pStyle w:val="FirstParagraph"/>
      </w:pPr>
      <w:r>
        <w:t xml:space="preserve">The primary system boundary for the initial assessment is **factory_gate**. However, for a comprehensive PCF, the analysis extends to a \'cradle-to-grave\' approach, encompassing:</w:t>
      </w:r>
    </w:p>
    <w:p>
      <w:pPr>
        <w:numPr>
          <w:ilvl w:val="0"/>
          <w:numId w:val="1002"/>
        </w:numPr>
        <w:pStyle w:val="Compact"/>
      </w:pPr>
      <w:r>
        <w:t xml:space="preserve">Raw Material Acquisition &amp; Pre-processing (upstream Scope 3)</w:t>
      </w:r>
    </w:p>
    <w:p>
      <w:pPr>
        <w:numPr>
          <w:ilvl w:val="0"/>
          <w:numId w:val="1002"/>
        </w:numPr>
        <w:pStyle w:val="Compact"/>
      </w:pPr>
      <w:r>
        <w:t xml:space="preserve">Manufacturing/Production (Scope 1 &amp; 2, and relevant Scope 3)</w:t>
      </w:r>
    </w:p>
    <w:p>
      <w:pPr>
        <w:numPr>
          <w:ilvl w:val="0"/>
          <w:numId w:val="1002"/>
        </w:numPr>
        <w:pStyle w:val="Compact"/>
      </w:pPr>
      <w:r>
        <w:t xml:space="preserve">Transport (inbound logistics, outbound logistics, last-mile delivery - Scope 3)</w:t>
      </w:r>
    </w:p>
    <w:p>
      <w:pPr>
        <w:numPr>
          <w:ilvl w:val="0"/>
          <w:numId w:val="1002"/>
        </w:numPr>
        <w:pStyle w:val="Compact"/>
      </w:pPr>
      <w:r>
        <w:t xml:space="preserve">Use Phase (Scope 3)</w:t>
      </w:r>
    </w:p>
    <w:p>
      <w:pPr>
        <w:numPr>
          <w:ilvl w:val="0"/>
          <w:numId w:val="1002"/>
        </w:numPr>
        <w:pStyle w:val="Compact"/>
      </w:pPr>
      <w:r>
        <w:t xml:space="preserve">End-of-Life (Scope 3)</w:t>
      </w:r>
    </w:p>
    <w:bookmarkEnd w:id="23"/>
    <w:bookmarkStart w:id="24" w:name="geographic-scope"/>
    <w:p>
      <w:pPr>
        <w:pStyle w:val="Heading2"/>
      </w:pPr>
      <w:r>
        <w:t xml:space="preserve">1.3 Geographic Scope</w:t>
      </w:r>
    </w:p>
    <w:p>
      <w:pPr>
        <w:pStyle w:val="FirstParagraph"/>
      </w:pPr>
      <w:r>
        <w:t xml:space="preserve">The final production country for jsuqqofudm is **China**. The supply chain focus is **Europe Focused**, implying a significant portion of raw materials and/or components originate from or are routed through Europe, with the final product destined for European markets.</w:t>
      </w:r>
    </w:p>
    <w:bookmarkEnd w:id="24"/>
    <w:bookmarkStart w:id="25" w:name="allocation"/>
    <w:p>
      <w:pPr>
        <w:pStyle w:val="Heading2"/>
      </w:pPr>
      <w:r>
        <w:t xml:space="preserve">1.4 Allocation</w:t>
      </w:r>
    </w:p>
    <w:p>
      <w:pPr>
        <w:pStyle w:val="FirstParagraph"/>
      </w:pPr>
      <w:r>
        <w:t xml:space="preserve">Emissions have been allocated based on mass for material inputs and energy consumption for process-related emissions. For co-products or waste streams, allocation is based on economic value where relevant, or on mass if economic data is unavailable or not significant to the primary product.</w:t>
      </w:r>
    </w:p>
    <w:p>
      <w:r>
        <w:pict>
          <v:rect style="width:0;height:1.5pt" o:hralign="center" o:hrstd="t" o:hr="t"/>
        </w:pict>
      </w:r>
    </w:p>
    <w:bookmarkEnd w:id="25"/>
    <w:bookmarkEnd w:id="26"/>
    <w:bookmarkStart w:id="37" w:name="X41ead577dded3fdd9a05184131994e7574b34dd"/>
    <w:p>
      <w:pPr>
        <w:pStyle w:val="Heading1"/>
      </w:pPr>
      <w:r>
        <w:t xml:space="preserve">2. Lifecycle Inventory (LCI) Stages &amp; 3. Data Collection</w:t>
      </w:r>
    </w:p>
    <w:p>
      <w:pPr>
        <w:pStyle w:val="FirstParagraph"/>
      </w:pPr>
      <w:r>
        <w:t xml:space="preserve">This section details the specific data collected for each lifecycle stage of jsuqqofudm, with a focus on material and energy inputs. Illustrative data is used for parameters provided as placeholders (e.g., vrfdommu, ygjqkyvgyp, epkioprsdt) to demonstrate the calculation methodology.</w:t>
      </w:r>
    </w:p>
    <w:bookmarkStart w:id="28" w:name="X77f6e5879214df0b89a9332db927aa2f934416f"/>
    <w:p>
      <w:pPr>
        <w:pStyle w:val="Heading2"/>
      </w:pPr>
      <w:r>
        <w:t xml:space="preserve">2.1 Materials Acquisition &amp; Pre-processing (Scope 3 - Category 1: Purchased Goods and Services)</w:t>
      </w:r>
    </w:p>
    <w:p>
      <w:pPr>
        <w:pStyle w:val="FirstParagraph"/>
      </w:pPr>
      <w:r>
        <w:t xml:space="preserve">The Detailed Bill of Materials (BOM) for vrfdommu, representing jsuqqofudm, is critical for calculating the upstream emissions. The following table illustrates the material breakdown, quantities, and their associated cradle-to-gate emission factors sourced from industry-standard databases such as Ecoinvent/DEFRA, with adjustments made for geographic specificity where possible.</w:t>
      </w:r>
    </w:p>
    <w:bookmarkStart w:id="27" w:name="X7ba7eafc1257756baf3f622c09bd21fb7b2bbee"/>
    <w:p>
      <w:pPr>
        <w:pStyle w:val="Heading3"/>
      </w:pPr>
      <w:r>
        <w:t xml:space="preserve">Detailed Bill of Materials (BOM) - vrfdommu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13.87</w:t>
            </w:r>
          </w:p>
        </w:tc>
        <w:tc>
          <w:tcPr/>
          <w:p>
            <w:pPr>
              <w:pStyle w:val="Compact"/>
              <w:jc w:val="left"/>
            </w:pPr>
            <w:r>
              <w:t xml:space="preserve">11.096</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3.10</w:t>
            </w:r>
          </w:p>
        </w:tc>
        <w:tc>
          <w:tcPr/>
          <w:p>
            <w:pPr>
              <w:pStyle w:val="Compact"/>
              <w:jc w:val="left"/>
            </w:pPr>
            <w:r>
              <w:t xml:space="preserve">1.240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15.00 (Estimated)</w:t>
            </w:r>
          </w:p>
        </w:tc>
        <w:tc>
          <w:tcPr/>
          <w:p>
            <w:pPr>
              <w:pStyle w:val="Compact"/>
              <w:jc w:val="left"/>
            </w:pPr>
            <w:r>
              <w:t xml:space="preserve">15.000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4.10</w:t>
            </w:r>
          </w:p>
        </w:tc>
        <w:tc>
          <w:tcPr/>
          <w:p>
            <w:pPr>
              <w:pStyle w:val="Compact"/>
              <w:jc w:val="left"/>
            </w:pPr>
            <w:r>
              <w:t xml:space="preserve">0.820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0.94</w:t>
            </w:r>
          </w:p>
        </w:tc>
        <w:tc>
          <w:tcPr/>
          <w:p>
            <w:pPr>
              <w:pStyle w:val="Compact"/>
              <w:jc w:val="left"/>
            </w:pPr>
            <w:r>
              <w:t xml:space="preserve">0.282</w:t>
            </w:r>
          </w:p>
        </w:tc>
      </w:tr>
      <w:tr>
        <w:tc>
          <w:tcPr>
            <w:gridSpan w:val="7"/>
          </w:tcPr>
          <w:p>
            <w:pPr>
              <w:pStyle w:val="Compact"/>
              <w:jc w:val="right"/>
            </w:pPr>
            <w:r>
              <w:t xml:space="preserve">Total Material Impact:</w:t>
            </w:r>
          </w:p>
        </w:tc>
        <w:tc>
          <w:tcPr/>
          <w:p>
            <w:pPr>
              <w:pStyle w:val="Compact"/>
              <w:jc w:val="left"/>
            </w:pPr>
            <w:r>
              <w:t xml:space="preserve">28.438 kgCO2e</w:t>
            </w:r>
          </w:p>
        </w:tc>
      </w:tr>
    </w:tbl>
    <w:bookmarkEnd w:id="27"/>
    <w:bookmarkEnd w:id="28"/>
    <w:bookmarkStart w:id="30" w:name="X0e91875001e68ef80f040b02ace5e0780b78953"/>
    <w:p>
      <w:pPr>
        <w:pStyle w:val="Heading2"/>
      </w:pPr>
      <w:r>
        <w:t xml:space="preserve">2.2 Manufacturing/Production (Scope 1 &amp; 2, and relevant Scope 3)</w:t>
      </w:r>
    </w:p>
    <w:p>
      <w:pPr>
        <w:pStyle w:val="FirstParagraph"/>
      </w:pPr>
      <w:r>
        <w:t xml:space="preserve">The manufacturing process occurs in China. The primary energy input is electricity.</w:t>
      </w:r>
    </w:p>
    <w:p>
      <w:pPr>
        <w:numPr>
          <w:ilvl w:val="0"/>
          <w:numId w:val="1003"/>
        </w:numPr>
        <w:pStyle w:val="Compact"/>
      </w:pPr>
      <w:r>
        <w:t xml:space="preserve">**Energy Intensity (kWh/unit):** yzxrsqmoqd (Illustrative: 15 kWh/unit)</w:t>
      </w:r>
    </w:p>
    <w:p>
      <w:pPr>
        <w:numPr>
          <w:ilvl w:val="0"/>
          <w:numId w:val="1003"/>
        </w:numPr>
        <w:pStyle w:val="Compact"/>
      </w:pPr>
      <w:r>
        <w:t xml:space="preserve">**Renewable Energy Usage (Percentage):** epkioprsdt (Illustrative: 70%)</w:t>
      </w:r>
    </w:p>
    <w:p>
      <w:pPr>
        <w:numPr>
          <w:ilvl w:val="0"/>
          <w:numId w:val="1003"/>
        </w:numPr>
        <w:pStyle w:val="Compact"/>
      </w:pPr>
      <w:r>
        <w:t xml:space="preserve">**Electricity Grid Mix Emission Factor (China):** 0.5892 kgCO2e/kWh</w:t>
      </w:r>
    </w:p>
    <w:bookmarkStart w:id="29" w:name="production-energy-breakdown"/>
    <w:p>
      <w:pPr>
        <w:pStyle w:val="Heading3"/>
      </w:pPr>
      <w:r>
        <w:t xml:space="preserve">Production Energy Breakdown</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Type</w:t>
            </w:r>
          </w:p>
        </w:tc>
        <w:tc>
          <w:tcPr/>
          <w:p>
            <w:pPr>
              <w:pStyle w:val="Compact"/>
              <w:jc w:val="left"/>
            </w:pPr>
            <w:r>
              <w:t xml:space="preserve">Consumption (kWh/unit)</w:t>
            </w:r>
          </w:p>
        </w:tc>
        <w:tc>
          <w:tcPr/>
          <w:p>
            <w:pPr>
              <w:pStyle w:val="Compact"/>
              <w:jc w:val="left"/>
            </w:pPr>
            <w:r>
              <w:t xml:space="preserve">Renewable Usage (%)</w:t>
            </w:r>
          </w:p>
        </w:tc>
        <w:tc>
          <w:tcPr/>
          <w:p>
            <w:pPr>
              <w:pStyle w:val="Compact"/>
              <w:jc w:val="left"/>
            </w:pPr>
            <w:r>
              <w:t xml:space="preserve">Non-Renewable Consumption (kWh/unit)</w:t>
            </w:r>
          </w:p>
        </w:tc>
        <w:tc>
          <w:tcPr/>
          <w:p>
            <w:pPr>
              <w:pStyle w:val="Compact"/>
              <w:jc w:val="left"/>
            </w:pPr>
            <w:r>
              <w:t xml:space="preserve">Emission Factor (kgCO2e/kWh)</w:t>
            </w:r>
          </w:p>
        </w:tc>
        <w:tc>
          <w:tcPr/>
          <w:p>
            <w:pPr>
              <w:pStyle w:val="Compact"/>
              <w:jc w:val="left"/>
            </w:pPr>
            <w:r>
              <w:t xml:space="preserve">Total Emissions (kgCO2e/unit)</w:t>
            </w:r>
          </w:p>
        </w:tc>
      </w:tr>
      <w:tr>
        <w:tc>
          <w:tcPr/>
          <w:p>
            <w:pPr>
              <w:pStyle w:val="Compact"/>
              <w:jc w:val="left"/>
            </w:pPr>
            <w:r>
              <w:t xml:space="preserve">Electricity (Total)</w:t>
            </w:r>
          </w:p>
        </w:tc>
        <w:tc>
          <w:tcPr/>
          <w:p>
            <w:pPr>
              <w:pStyle w:val="Compact"/>
              <w:jc w:val="left"/>
            </w:pPr>
            <w:r>
              <w:t xml:space="preserve">15.0</w:t>
            </w:r>
          </w:p>
        </w:tc>
        <w:tc>
          <w:tcPr/>
          <w:p>
            <w:pPr>
              <w:pStyle w:val="Compact"/>
              <w:jc w:val="left"/>
            </w:pPr>
            <w:r>
              <w:t xml:space="preserve">70% (epkioprsdt)</w:t>
            </w:r>
          </w:p>
        </w:tc>
        <w:tc>
          <w:tcPr/>
          <w:p>
            <w:pPr>
              <w:pStyle w:val="Compact"/>
              <w:jc w:val="left"/>
            </w:pPr>
            <w:r>
              <w:t xml:space="preserve">4.5 (15 * 0.30)</w:t>
            </w:r>
          </w:p>
        </w:tc>
        <w:tc>
          <w:tcPr/>
          <w:p>
            <w:pPr>
              <w:pStyle w:val="Compact"/>
              <w:jc w:val="left"/>
            </w:pPr>
            <w:r>
              <w:t xml:space="preserve">0.5892</w:t>
            </w:r>
          </w:p>
        </w:tc>
        <w:tc>
          <w:tcPr/>
          <w:p>
            <w:pPr>
              <w:pStyle w:val="Compact"/>
              <w:jc w:val="left"/>
            </w:pPr>
            <w:r>
              <w:t xml:space="preserve">2.6514</w:t>
            </w:r>
          </w:p>
        </w:tc>
      </w:tr>
    </w:tbl>
    <w:p>
      <w:pPr>
        <w:pStyle w:val="BodyText"/>
      </w:pPr>
      <w:r>
        <w:rPr>
          <w:iCs/>
          <w:i/>
        </w:rPr>
        <w:t xml:space="preserve">Note: Scope 1 emissions, such as from on-site fuel combustion not for electricity, are assumed negligible for this production stage given the focus on purchased electricity as the primary energy input. If significant, they would be quantified separately.</w:t>
      </w:r>
    </w:p>
    <w:bookmarkEnd w:id="29"/>
    <w:bookmarkEnd w:id="30"/>
    <w:bookmarkStart w:id="32" w:name="Xe8e0d9d21cd8861c5d827a8d410d6570d08cead"/>
    <w:p>
      <w:pPr>
        <w:pStyle w:val="Heading2"/>
      </w:pPr>
      <w:r>
        <w:t xml:space="preserve">2.3 Transport (Scope 3 - Category 4: Upstream Transportation and Distribution &amp; Category 9: Downstream Transportation and Distribution)</w:t>
      </w:r>
    </w:p>
    <w:p>
      <w:pPr>
        <w:pStyle w:val="FirstParagraph"/>
      </w:pPr>
      <w:r>
        <w:t xml:space="preserve">Logistics data for jsuqqofudm covers inbound materials to the manufacturing plant in China, and outbound finished products from China to Europe, including last-mile delivery. The assumed product weight is the sum of BOM materials, which is `0.8 + 0.4 + 1.0 + 0.2 + 0.3 = 2.7 kg`. For transport calculations, we will use a rounded product weight of 3 kg (0.003 tonnes) per unit, acknowledging that packaging adds further weight.</w:t>
      </w:r>
    </w:p>
    <w:bookmarkStart w:id="31" w:name="Xf05303e13273477b8d8a424fb4e55baab798c0f"/>
    <w:p>
      <w:pPr>
        <w:pStyle w:val="Heading3"/>
      </w:pPr>
      <w:r>
        <w:t xml:space="preserve">Transport Logistics Data (Illustrative Data)</w:t>
      </w:r>
    </w:p>
    <w:tbl>
      <w:tblPr>
        <w:tblStyle w:val="Table"/>
        <w:tblW w:type="pct" w:w="500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Leg</w:t>
            </w:r>
          </w:p>
        </w:tc>
        <w:tc>
          <w:tcPr/>
          <w:p>
            <w:pPr>
              <w:pStyle w:val="Compact"/>
              <w:jc w:val="left"/>
            </w:pPr>
            <w:r>
              <w:t xml:space="preserve">Mode (Select Mode)</w:t>
            </w:r>
          </w:p>
        </w:tc>
        <w:tc>
          <w:tcPr/>
          <w:p>
            <w:pPr>
              <w:pStyle w:val="Compact"/>
              <w:jc w:val="left"/>
            </w:pPr>
            <w:r>
              <w:t xml:space="preserve">Distance (ygjqkyvgyp)</w:t>
            </w:r>
          </w:p>
        </w:tc>
        <w:tc>
          <w:tcPr/>
          <w:p>
            <w:pPr>
              <w:pStyle w:val="Compact"/>
              <w:jc w:val="left"/>
            </w:pPr>
            <w:r>
              <w:t xml:space="preserve">Mass (tonnes/unit)</w:t>
            </w:r>
          </w:p>
        </w:tc>
        <w:tc>
          <w:tcPr/>
          <w:p>
            <w:pPr>
              <w:pStyle w:val="Compact"/>
              <w:jc w:val="left"/>
            </w:pPr>
            <w:r>
              <w:t xml:space="preserve">Emission Factor (kgCO2e/tkm)</w:t>
            </w:r>
          </w:p>
        </w:tc>
        <w:tc>
          <w:tcPr/>
          <w:p>
            <w:pPr>
              <w:pStyle w:val="Compact"/>
              <w:jc w:val="left"/>
            </w:pPr>
            <w:r>
              <w:t xml:space="preserve">Total Emissions (kgCO2e/unit)</w:t>
            </w:r>
          </w:p>
        </w:tc>
      </w:tr>
      <w:tr>
        <w:tc>
          <w:tcPr/>
          <w:p>
            <w:pPr>
              <w:pStyle w:val="Compact"/>
              <w:jc w:val="left"/>
            </w:pPr>
            <w:r>
              <w:t xml:space="preserve">Inbound Materials (Europe to China)</w:t>
            </w:r>
          </w:p>
        </w:tc>
        <w:tc>
          <w:tcPr/>
          <w:p>
            <w:pPr>
              <w:pStyle w:val="Compact"/>
              <w:jc w:val="left"/>
            </w:pPr>
            <w:r>
              <w:t xml:space="preserve">Ocean Freight (Container Ship)</w:t>
            </w:r>
          </w:p>
        </w:tc>
        <w:tc>
          <w:tcPr/>
          <w:p>
            <w:pPr>
              <w:pStyle w:val="Compact"/>
              <w:jc w:val="left"/>
            </w:pPr>
            <w:r>
              <w:t xml:space="preserve">15,000 km</w:t>
            </w:r>
          </w:p>
        </w:tc>
        <w:tc>
          <w:tcPr/>
          <w:p>
            <w:pPr>
              <w:pStyle w:val="Compact"/>
              <w:jc w:val="left"/>
            </w:pPr>
            <w:r>
              <w:t xml:space="preserve">0.0027</w:t>
            </w:r>
          </w:p>
        </w:tc>
        <w:tc>
          <w:tcPr/>
          <w:p>
            <w:pPr>
              <w:pStyle w:val="Compact"/>
              <w:jc w:val="left"/>
            </w:pPr>
            <w:r>
              <w:t xml:space="preserve">0.016</w:t>
            </w:r>
          </w:p>
        </w:tc>
        <w:tc>
          <w:tcPr/>
          <w:p>
            <w:pPr>
              <w:pStyle w:val="Compact"/>
              <w:jc w:val="left"/>
            </w:pPr>
            <w:r>
              <w:t xml:space="preserve">0.648</w:t>
            </w:r>
          </w:p>
        </w:tc>
      </w:tr>
      <w:tr>
        <w:tc>
          <w:tcPr/>
          <w:p>
            <w:pPr>
              <w:pStyle w:val="Compact"/>
              <w:jc w:val="left"/>
            </w:pPr>
            <w:r>
              <w:t xml:space="preserve">Outbound Finished Product (China to Europe)</w:t>
            </w:r>
          </w:p>
        </w:tc>
        <w:tc>
          <w:tcPr/>
          <w:p>
            <w:pPr>
              <w:pStyle w:val="Compact"/>
              <w:jc w:val="left"/>
            </w:pPr>
            <w:r>
              <w:t xml:space="preserve">Ocean Freight (Container Ship) &amp; Road Freight (HGV)</w:t>
            </w:r>
          </w:p>
        </w:tc>
        <w:tc>
          <w:tcPr/>
          <w:p>
            <w:pPr>
              <w:pStyle w:val="Compact"/>
              <w:jc w:val="left"/>
            </w:pPr>
            <w:r>
              <w:t xml:space="preserve">10,000 km (Ocean) + 500 km (Road)</w:t>
            </w:r>
          </w:p>
        </w:tc>
        <w:tc>
          <w:tcPr/>
          <w:p>
            <w:pPr>
              <w:pStyle w:val="Compact"/>
              <w:jc w:val="left"/>
            </w:pPr>
            <w:r>
              <w:t xml:space="preserve">0.003</w:t>
            </w:r>
          </w:p>
        </w:tc>
        <w:tc>
          <w:tcPr/>
          <w:p>
            <w:pPr>
              <w:pStyle w:val="Compact"/>
              <w:jc w:val="left"/>
            </w:pPr>
            <w:r>
              <w:t xml:space="preserve">0.016 (Ocean)</w:t>
            </w:r>
            <w:r>
              <w:br/>
            </w:r>
            <w:r>
              <w:t xml:space="preserve">0.10 (Road)</w:t>
            </w:r>
          </w:p>
        </w:tc>
        <w:tc>
          <w:tcPr/>
          <w:p>
            <w:pPr>
              <w:pStyle w:val="Compact"/>
              <w:jc w:val="left"/>
            </w:pPr>
            <w:r>
              <w:t xml:space="preserve">0.48 (Ocean) + 0.15 (Road) = 0.63</w:t>
            </w:r>
          </w:p>
        </w:tc>
      </w:tr>
      <w:tr>
        <w:tc>
          <w:tcPr/>
          <w:p>
            <w:pPr>
              <w:pStyle w:val="Compact"/>
              <w:jc w:val="left"/>
            </w:pPr>
            <w:r>
              <w:t xml:space="preserve">Last-Mile Delivery (Delivery Type)</w:t>
            </w:r>
          </w:p>
        </w:tc>
        <w:tc>
          <w:tcPr/>
          <w:p>
            <w:pPr>
              <w:pStyle w:val="Compact"/>
              <w:jc w:val="left"/>
            </w:pPr>
            <w:r>
              <w:t xml:space="preserve">Parcel Delivery Van (Road)</w:t>
            </w:r>
          </w:p>
        </w:tc>
        <w:tc>
          <w:tcPr/>
          <w:p>
            <w:pPr>
              <w:pStyle w:val="Compact"/>
              <w:jc w:val="left"/>
            </w:pPr>
            <w:r>
              <w:t xml:space="preserve">50 km</w:t>
            </w:r>
          </w:p>
        </w:tc>
        <w:tc>
          <w:tcPr/>
          <w:p>
            <w:pPr>
              <w:pStyle w:val="Compact"/>
              <w:jc w:val="left"/>
            </w:pPr>
            <w:r>
              <w:t xml:space="preserve">0.003</w:t>
            </w:r>
          </w:p>
        </w:tc>
        <w:tc>
          <w:tcPr/>
          <w:p>
            <w:pPr>
              <w:pStyle w:val="Compact"/>
              <w:jc w:val="left"/>
            </w:pPr>
            <w:r>
              <w:t xml:space="preserve">0.10 (Road) (Assumed higher efficiency for parcel service over short distance for 1 unit of product)</w:t>
            </w:r>
          </w:p>
        </w:tc>
        <w:tc>
          <w:tcPr/>
          <w:p>
            <w:pPr>
              <w:pStyle w:val="Compact"/>
              <w:jc w:val="left"/>
            </w:pPr>
            <w:r>
              <w:t xml:space="preserve">0.015</w:t>
            </w:r>
          </w:p>
        </w:tc>
      </w:tr>
      <w:tr>
        <w:tc>
          <w:tcPr>
            <w:gridSpan w:val="5"/>
          </w:tcPr>
          <w:p>
            <w:pPr>
              <w:pStyle w:val="Compact"/>
              <w:jc w:val="right"/>
            </w:pPr>
            <w:r>
              <w:t xml:space="preserve">Total Transport Impact:</w:t>
            </w:r>
          </w:p>
        </w:tc>
        <w:tc>
          <w:tcPr/>
          <w:p>
            <w:pPr>
              <w:pStyle w:val="Compact"/>
              <w:jc w:val="left"/>
            </w:pPr>
            <w:r>
              <w:t xml:space="preserve">1.293 kgCO2e</w:t>
            </w:r>
          </w:p>
        </w:tc>
      </w:tr>
    </w:tbl>
    <w:p>
      <w:pPr>
        <w:pStyle w:val="BodyText"/>
      </w:pPr>
      <w:r>
        <w:rPr>
          <w:iCs/>
          <w:i/>
        </w:rPr>
        <w:t xml:space="preserve">Note: The mass for inbound materials is based on the total raw material weight from the BOM (2.7 kg). The mass for outbound and last-mile transport uses a rounded product weight of 3 kg to account for final packaging.</w:t>
      </w:r>
    </w:p>
    <w:bookmarkEnd w:id="31"/>
    <w:bookmarkEnd w:id="32"/>
    <w:bookmarkStart w:id="34" w:name="X687445901a9235e23446a36286990b6b14efa53"/>
    <w:p>
      <w:pPr>
        <w:pStyle w:val="Heading2"/>
      </w:pPr>
      <w:r>
        <w:t xml:space="preserve">2.4 Use Phase (Scope 3 - Category 11: Use of Sold Products)</w:t>
      </w:r>
    </w:p>
    <w:p>
      <w:pPr>
        <w:pStyle w:val="FirstParagraph"/>
      </w:pPr>
      <w:r>
        <w:t xml:space="preserve">The use phase calculation incorporates specific durability and consumption data.</w:t>
      </w:r>
    </w:p>
    <w:p>
      <w:pPr>
        <w:numPr>
          <w:ilvl w:val="0"/>
          <w:numId w:val="1004"/>
        </w:numPr>
        <w:pStyle w:val="Compact"/>
      </w:pPr>
      <w:r>
        <w:t xml:space="preserve">**Product Lifespan (qnzzehvnuv):** Illustrative: 7 years</w:t>
      </w:r>
    </w:p>
    <w:p>
      <w:pPr>
        <w:numPr>
          <w:ilvl w:val="0"/>
          <w:numId w:val="1004"/>
        </w:numPr>
        <w:pStyle w:val="Compact"/>
      </w:pPr>
      <w:r>
        <w:t xml:space="preserve">**Energy Consumption in Use (vwglykxywk):** Illustrative: 15 kWh/year</w:t>
      </w:r>
    </w:p>
    <w:p>
      <w:pPr>
        <w:numPr>
          <w:ilvl w:val="0"/>
          <w:numId w:val="1004"/>
        </w:numPr>
        <w:pStyle w:val="Compact"/>
      </w:pPr>
      <w:r>
        <w:t xml:space="preserve">**End-User Electricity Grid Mix (Europe Average):** Assumed 0.25 kgCO2e/kWh (Illustrative average for European grid mix)</w:t>
      </w:r>
    </w:p>
    <w:bookmarkStart w:id="33" w:name="use-phase-energy-consumption"/>
    <w:p>
      <w:pPr>
        <w:pStyle w:val="Heading3"/>
      </w:pPr>
      <w:r>
        <w:t xml:space="preserve">Use Phase Energy Consumption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7</w:t>
            </w:r>
          </w:p>
        </w:tc>
        <w:tc>
          <w:tcPr/>
          <w:p>
            <w:pPr>
              <w:pStyle w:val="Compact"/>
              <w:jc w:val="left"/>
            </w:pPr>
            <w:r>
              <w:t xml:space="preserve">years</w:t>
            </w:r>
          </w:p>
        </w:tc>
      </w:tr>
      <w:tr>
        <w:tc>
          <w:tcPr/>
          <w:p>
            <w:pPr>
              <w:pStyle w:val="Compact"/>
              <w:jc w:val="left"/>
            </w:pPr>
            <w:r>
              <w:t xml:space="preserve">Energy Consumption per Year</w:t>
            </w:r>
          </w:p>
        </w:tc>
        <w:tc>
          <w:tcPr/>
          <w:p>
            <w:pPr>
              <w:pStyle w:val="Compact"/>
              <w:jc w:val="left"/>
            </w:pPr>
            <w:r>
              <w:t xml:space="preserve">15</w:t>
            </w:r>
          </w:p>
        </w:tc>
        <w:tc>
          <w:tcPr/>
          <w:p>
            <w:pPr>
              <w:pStyle w:val="Compact"/>
              <w:jc w:val="left"/>
            </w:pPr>
            <w:r>
              <w:t xml:space="preserve">kWh/year</w:t>
            </w:r>
          </w:p>
        </w:tc>
      </w:tr>
      <w:tr>
        <w:tc>
          <w:tcPr/>
          <w:p>
            <w:pPr>
              <w:pStyle w:val="Compact"/>
              <w:jc w:val="left"/>
            </w:pPr>
            <w:r>
              <w:t xml:space="preserve">Total Energy Consumption over Lifespan</w:t>
            </w:r>
          </w:p>
        </w:tc>
        <w:tc>
          <w:tcPr/>
          <w:p>
            <w:pPr>
              <w:pStyle w:val="Compact"/>
              <w:jc w:val="left"/>
            </w:pPr>
            <w:r>
              <w:t xml:space="preserve">105 (15 kWh/year * 7 years)</w:t>
            </w:r>
          </w:p>
        </w:tc>
        <w:tc>
          <w:tcPr/>
          <w:p>
            <w:pPr>
              <w:pStyle w:val="Compact"/>
              <w:jc w:val="left"/>
            </w:pPr>
            <w:r>
              <w:t xml:space="preserve">kWh</w:t>
            </w:r>
          </w:p>
        </w:tc>
      </w:tr>
      <w:tr>
        <w:tc>
          <w:tcPr/>
          <w:p>
            <w:pPr>
              <w:pStyle w:val="Compact"/>
              <w:jc w:val="left"/>
            </w:pPr>
            <w:r>
              <w:t xml:space="preserve">Emission Factor (Europe Grid Mix)</w:t>
            </w:r>
          </w:p>
        </w:tc>
        <w:tc>
          <w:tcPr/>
          <w:p>
            <w:pPr>
              <w:pStyle w:val="Compact"/>
              <w:jc w:val="left"/>
            </w:pPr>
            <w:r>
              <w:t xml:space="preserve">0.25 (Estimated)</w:t>
            </w:r>
          </w:p>
        </w:tc>
        <w:tc>
          <w:tcPr/>
          <w:p>
            <w:pPr>
              <w:pStyle w:val="Compact"/>
              <w:jc w:val="left"/>
            </w:pPr>
            <w:r>
              <w:t xml:space="preserve">kgCO2e/kWh</w:t>
            </w:r>
          </w:p>
        </w:tc>
      </w:tr>
      <w:tr>
        <w:tc>
          <w:tcPr/>
          <w:p>
            <w:pPr>
              <w:pStyle w:val="Compact"/>
              <w:jc w:val="left"/>
            </w:pPr>
            <w:r>
              <w:t xml:space="preserve">**Total Use Phase Emissions**</w:t>
            </w:r>
          </w:p>
        </w:tc>
        <w:tc>
          <w:tcPr/>
          <w:p>
            <w:pPr>
              <w:pStyle w:val="Compact"/>
              <w:jc w:val="left"/>
            </w:pPr>
            <w:r>
              <w:t xml:space="preserve">**26.25** (105 kWh * 0.25 kgCO2e/kWh)</w:t>
            </w:r>
          </w:p>
        </w:tc>
        <w:tc>
          <w:tcPr/>
          <w:p>
            <w:pPr>
              <w:pStyle w:val="Compact"/>
              <w:jc w:val="left"/>
            </w:pPr>
            <w:r>
              <w:t xml:space="preserve">**kgCO2e**</w:t>
            </w:r>
          </w:p>
        </w:tc>
      </w:tr>
    </w:tbl>
    <w:bookmarkEnd w:id="33"/>
    <w:bookmarkEnd w:id="34"/>
    <w:bookmarkStart w:id="36" w:name="X476d265adbb735fcd21601fcf5c7b4762da0b15"/>
    <w:p>
      <w:pPr>
        <w:pStyle w:val="Heading2"/>
      </w:pPr>
      <w:r>
        <w:t xml:space="preserve">2.5 End-of-Life (EoL) Scenarios (Scope 3 - Category 12: End-of-Life Treatment of Sold Products)</w:t>
      </w:r>
    </w:p>
    <w:p>
      <w:pPr>
        <w:pStyle w:val="FirstParagraph"/>
      </w:pPr>
      <w:r>
        <w:t xml:space="preserve">The End-of-Life scenario accounts for recyclability and circular economy programs.</w:t>
      </w:r>
    </w:p>
    <w:p>
      <w:pPr>
        <w:numPr>
          <w:ilvl w:val="0"/>
          <w:numId w:val="1005"/>
        </w:numPr>
        <w:pStyle w:val="Compact"/>
      </w:pPr>
      <w:r>
        <w:t xml:space="preserve">**Recyclability Percentage (jtqvyowfyh):** Illustrative: 60%</w:t>
      </w:r>
    </w:p>
    <w:p>
      <w:pPr>
        <w:numPr>
          <w:ilvl w:val="0"/>
          <w:numId w:val="1005"/>
        </w:numPr>
        <w:pStyle w:val="Compact"/>
      </w:pPr>
      <w:r>
        <w:t xml:space="preserve">**Circular/Take-back Programs (hpjxthjmxe):** Illustrative: Company-sponsored product return and refurbishment program.</w:t>
      </w:r>
    </w:p>
    <w:p>
      <w:pPr>
        <w:pStyle w:val="FirstParagraph"/>
      </w:pPr>
      <w:r>
        <w:t xml:space="preserve">For EoL calculations, the impact of recycling is generally modeled as avoided emissions (negative emissions) or by using specific EoL emission factors for different waste treatments (landfill, incineration, recycling). Given a 60% recyclability, we estimate the EoL impact based on the initial material footprint and the potential for recovery.</w:t>
      </w:r>
    </w:p>
    <w:bookmarkStart w:id="35" w:name="end-of-life-impact-estimation"/>
    <w:p>
      <w:pPr>
        <w:pStyle w:val="Heading3"/>
      </w:pPr>
      <w:r>
        <w:t xml:space="preserve">End-of-Life Impact Estimation</w:t>
      </w:r>
    </w:p>
    <w:p>
      <w:pPr>
        <w:pStyle w:val="FirstParagraph"/>
      </w:pPr>
      <w:r>
        <w:t xml:space="preserve">Assuming a linear EoL model for simplicity, and applying a conservative avoided emissions factor for recycled materials:</w:t>
      </w:r>
    </w:p>
    <w:p>
      <w:pPr>
        <w:numPr>
          <w:ilvl w:val="0"/>
          <w:numId w:val="1006"/>
        </w:numPr>
        <w:pStyle w:val="Compact"/>
      </w:pPr>
      <w:r>
        <w:t xml:space="preserve">Total material weight: 2.7 kg</w:t>
      </w:r>
    </w:p>
    <w:p>
      <w:pPr>
        <w:numPr>
          <w:ilvl w:val="0"/>
          <w:numId w:val="1006"/>
        </w:numPr>
        <w:pStyle w:val="Compact"/>
      </w:pPr>
      <w:r>
        <w:t xml:space="preserve">Recyclability: 60%</w:t>
      </w:r>
    </w:p>
    <w:p>
      <w:pPr>
        <w:numPr>
          <w:ilvl w:val="0"/>
          <w:numId w:val="1006"/>
        </w:numPr>
        <w:pStyle w:val="Compact"/>
      </w:pPr>
      <w:r>
        <w:t xml:space="preserve">Waste to landfill/incineration: 40% (1.08 kg)</w:t>
      </w:r>
    </w:p>
    <w:p>
      <w:pPr>
        <w:numPr>
          <w:ilvl w:val="0"/>
          <w:numId w:val="1006"/>
        </w:numPr>
        <w:pStyle w:val="Compact"/>
      </w:pPr>
      <w:r>
        <w:t xml:space="preserve">Materials potentially recycled: 60% (1.62 kg)</w:t>
      </w:r>
    </w:p>
    <w:p>
      <w:pPr>
        <w:pStyle w:val="FirstParagraph"/>
      </w:pPr>
      <w:r>
        <w:t xml:space="preserve">The carbon impact of end-of-life is highly dependent on the disposal method (landfill, incineration, recycling). For materials like aluminum and copper, recycling significantly reduces emissions compared to primary production. For plastics, the benefit varies. Cardboard recycling also provides substantial benefits.</w:t>
      </w:r>
    </w:p>
    <w:p>
      <w:pPr>
        <w:pStyle w:val="BodyText"/>
      </w:pPr>
      <w:r>
        <w:t xml:space="preserve">Considering the material breakdown and average EoL emission/avoided emission factors (e.g., -1 to -3 kgCO2e/kg for recycled metals, +0.5 to +2 kgCO2e/kg for landfill/incineration of plastics):</w:t>
      </w:r>
    </w:p>
    <w:p>
      <w:pPr>
        <w:pStyle w:val="BodyText"/>
      </w:pPr>
      <w:r>
        <w:br/>
      </w:r>
      <w:r>
        <w:t xml:space="preserve">**Simplified EoL Calculation (Illustrative):**</w:t>
      </w:r>
      <w:r>
        <w:br/>
      </w:r>
      <w:r>
        <w:t xml:space="preserve">* Emissions from landfill/incineration (40% of 2.7 kg = 1.08 kg): 1.08 kg * 1.5 kgCO2e/kg (average for mixed waste) = 1.62 kgCO2e</w:t>
      </w:r>
      <w:r>
        <w:br/>
      </w:r>
      <w:r>
        <w:t xml:space="preserve">* Avoided emissions from recycling (60% of 2.7 kg = 1.62 kg): 1.62 kg * -2.0 kgCO2e/kg (average for mixed materials considering high-value metals) = -3.24 kgCO2e</w:t>
      </w:r>
      <w:r>
        <w:br/>
      </w:r>
      <w:r>
        <w:t xml:space="preserve">**Total End-of-Life Impact: -1.62 kgCO2e** (Net carbon benefit due to recycling potential)</w:t>
      </w:r>
    </w:p>
    <w:p>
      <w:pPr>
        <w:pStyle w:val="BodyText"/>
      </w:pPr>
      <w:r>
        <w:t xml:space="preserve">The company\'s **Company-sponsored product return and refurbishment program (hpjxthjmxe)** further enhances circularity, extending product lifespan and reducing the need for new material production, thus leading to additional avoided emissions beyond the initial recyclability percentage. Quantifying this benefit precisely would require detailed program data, but it represents a significant positive impact on the overall PCF.</w:t>
      </w:r>
    </w:p>
    <w:p>
      <w:r>
        <w:pict>
          <v:rect style="width:0;height:1.5pt" o:hralign="center" o:hrstd="t" o:hr="t"/>
        </w:pict>
      </w:r>
    </w:p>
    <w:bookmarkEnd w:id="35"/>
    <w:bookmarkEnd w:id="36"/>
    <w:bookmarkEnd w:id="37"/>
    <w:bookmarkStart w:id="40" w:name="X439a6e6dcb43c636bf515ffaf3f59bce0bd6490"/>
    <w:p>
      <w:pPr>
        <w:pStyle w:val="Heading1"/>
      </w:pPr>
      <w:r>
        <w:t xml:space="preserve">4. Emission Calculation (Activity * Emission Factor = CO2e)</w:t>
      </w:r>
    </w:p>
    <w:p>
      <w:pPr>
        <w:pStyle w:val="FirstParagraph"/>
      </w:pPr>
      <w:r>
        <w:t xml:space="preserve">Total emissions are calculated by summing the CO2e contributions from each lifecycle stage, categorized by GHG Protocol scopes.</w:t>
      </w:r>
    </w:p>
    <w:bookmarkStart w:id="38" w:name="X73316f30049a8d3ae5c843b408c064fac3f0831"/>
    <w:p>
      <w:pPr>
        <w:pStyle w:val="Heading2"/>
      </w:pPr>
      <w:r>
        <w:t xml:space="preserve">4.1 Summary of Product Carbon Footprint for jsuqqofudm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28.438</w:t>
            </w:r>
          </w:p>
        </w:tc>
      </w:tr>
      <w:tr>
        <w:tc>
          <w:tcPr/>
          <w:p>
            <w:pPr>
              <w:pStyle w:val="Compact"/>
              <w:jc w:val="left"/>
            </w:pPr>
            <w:r>
              <w:t xml:space="preserve">Manufacturing (Energy Consumption)</w:t>
            </w:r>
          </w:p>
        </w:tc>
        <w:tc>
          <w:tcPr/>
          <w:p>
            <w:pPr>
              <w:pStyle w:val="Compact"/>
              <w:jc w:val="left"/>
            </w:pPr>
            <w:r>
              <w:t xml:space="preserve">Scope 2 (Purchased Electricity)</w:t>
            </w:r>
          </w:p>
        </w:tc>
        <w:tc>
          <w:tcPr/>
          <w:p>
            <w:pPr>
              <w:pStyle w:val="Compact"/>
              <w:jc w:val="left"/>
            </w:pPr>
            <w:r>
              <w:t xml:space="preserve">2.6514</w:t>
            </w:r>
          </w:p>
        </w:tc>
      </w:tr>
      <w:tr>
        <w:tc>
          <w:tcPr/>
          <w:p>
            <w:pPr>
              <w:pStyle w:val="Compact"/>
              <w:jc w:val="left"/>
            </w:pPr>
            <w:r>
              <w:t xml:space="preserve">Transport (Inbound &amp; Outbound)</w:t>
            </w:r>
          </w:p>
        </w:tc>
        <w:tc>
          <w:tcPr/>
          <w:p>
            <w:pPr>
              <w:pStyle w:val="Compact"/>
              <w:jc w:val="left"/>
            </w:pPr>
            <w:r>
              <w:t xml:space="preserve">Scope 3 (Category 4 &amp; 9)</w:t>
            </w:r>
          </w:p>
        </w:tc>
        <w:tc>
          <w:tcPr/>
          <w:p>
            <w:pPr>
              <w:pStyle w:val="Compact"/>
              <w:jc w:val="left"/>
            </w:pPr>
            <w:r>
              <w:t xml:space="preserve">1.293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-1.620 (Net Benefit)</w:t>
            </w:r>
          </w:p>
        </w:tc>
      </w:tr>
      <w:tr>
        <w:tc>
          <w:tcPr>
            <w:gridSpan w:val="2"/>
          </w:tcPr>
          <w:p>
            <w:pPr>
              <w:pStyle w:val="Compact"/>
              <w:jc w:val="right"/>
            </w:pPr>
            <w:r>
              <w:t xml:space="preserve">Total Product Carbon Footprint:</w:t>
            </w:r>
          </w:p>
        </w:tc>
        <w:tc>
          <w:tcPr/>
          <w:p>
            <w:pPr>
              <w:pStyle w:val="Compact"/>
              <w:jc w:val="left"/>
            </w:pPr>
            <w:r>
              <w:t xml:space="preserve">57.0124 kgCO2e/unit</w:t>
            </w:r>
          </w:p>
        </w:tc>
      </w:tr>
    </w:tbl>
    <w:bookmarkEnd w:id="38"/>
    <w:bookmarkStart w:id="39" w:name="scope-wise-emission-breakdown"/>
    <w:p>
      <w:pPr>
        <w:pStyle w:val="Heading2"/>
      </w:pPr>
      <w:r>
        <w:t xml:space="preserve">4.2 Scope-wise Emission Breakdown</w:t>
      </w:r>
    </w:p>
    <w:p>
      <w:pPr>
        <w:pStyle w:val="FirstParagraph"/>
      </w:pPr>
      <w:r>
        <w:t xml:space="preserve">This breakdown clearly illustrates the distribution of emissions across direct, indirect, and value chain activities, aligning with GHG Protocol reporting requirements.</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(e.g., on-site fuel combustion). Assumed negligible in this PCF analysis as primary energy input is purchased electricity.</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purchased electricity (Manufacturing).</w:t>
            </w:r>
          </w:p>
        </w:tc>
        <w:tc>
          <w:tcPr/>
          <w:p>
            <w:pPr>
              <w:pStyle w:val="Compact"/>
              <w:jc w:val="left"/>
            </w:pPr>
            <w:r>
              <w:t xml:space="preserve">2.6514</w:t>
            </w:r>
          </w:p>
        </w:tc>
        <w:tc>
          <w:tcPr/>
          <w:p>
            <w:pPr>
              <w:pStyle w:val="Compact"/>
              <w:jc w:val="left"/>
            </w:pPr>
            <w:r>
              <w:t xml:space="preserve">4.65%</w:t>
            </w:r>
          </w:p>
        </w:tc>
      </w:tr>
      <w:tr>
        <w:tc>
          <w:tcPr/>
          <w:p>
            <w:pPr>
              <w:pStyle w:val="Compact"/>
              <w:jc w:val="left"/>
            </w:pPr>
            <w:r>
              <w:t xml:space="preserve">**Scope 3**</w:t>
            </w:r>
          </w:p>
        </w:tc>
        <w:tc>
          <w:tcPr/>
          <w:p>
            <w:pPr>
              <w:pStyle w:val="Compact"/>
              <w:jc w:val="left"/>
            </w:pPr>
            <w:r>
              <w:t xml:space="preserve">All other indirect emissions from the value chain, including:</w:t>
            </w:r>
          </w:p>
          <w:p>
            <w:pPr>
              <w:numPr>
                <w:ilvl w:val="0"/>
                <w:numId w:val="1007"/>
              </w:numPr>
              <w:pStyle w:val="Compact"/>
              <w:jc w:val="left"/>
            </w:pPr>
            <w:r>
              <w:t xml:space="preserve">Category 1: Purchased Goods &amp; Services (Materials)</w:t>
            </w:r>
          </w:p>
          <w:p>
            <w:pPr>
              <w:numPr>
                <w:ilvl w:val="0"/>
                <w:numId w:val="1007"/>
              </w:numPr>
              <w:pStyle w:val="Compact"/>
              <w:jc w:val="left"/>
            </w:pPr>
            <w:r>
              <w:t xml:space="preserve">Category 4: Upstream Transportation &amp; Distribution (Inbound)</w:t>
            </w:r>
          </w:p>
          <w:p>
            <w:pPr>
              <w:numPr>
                <w:ilvl w:val="0"/>
                <w:numId w:val="1007"/>
              </w:numPr>
              <w:pStyle w:val="Compact"/>
              <w:jc w:val="left"/>
            </w:pPr>
            <w:r>
              <w:t xml:space="preserve">Category 9: Downstream Transportation &amp; Distribution (Outbound &amp; Last-Mile)</w:t>
            </w:r>
          </w:p>
          <w:p>
            <w:pPr>
              <w:numPr>
                <w:ilvl w:val="0"/>
                <w:numId w:val="1007"/>
              </w:numPr>
              <w:pStyle w:val="Compact"/>
              <w:jc w:val="left"/>
            </w:pPr>
            <w:r>
              <w:t xml:space="preserve">Category 11: Use of Sold Products</w:t>
            </w:r>
          </w:p>
          <w:p>
            <w:pPr>
              <w:numPr>
                <w:ilvl w:val="0"/>
                <w:numId w:val="1007"/>
              </w:numPr>
              <w:pStyle w:val="Compact"/>
              <w:jc w:val="left"/>
            </w:pPr>
            <w:r>
              <w:t xml:space="preserve">Category 12: End-of-Life Treatment of Sold Products</w:t>
            </w:r>
          </w:p>
        </w:tc>
        <w:tc>
          <w:tcPr/>
          <w:p>
            <w:pPr>
              <w:pStyle w:val="Compact"/>
              <w:jc w:val="left"/>
            </w:pPr>
            <w:r>
              <w:t xml:space="preserve">54.361</w:t>
            </w:r>
          </w:p>
        </w:tc>
        <w:tc>
          <w:tcPr/>
          <w:p>
            <w:pPr>
              <w:pStyle w:val="Compact"/>
              <w:jc w:val="left"/>
            </w:pPr>
            <w:r>
              <w:t xml:space="preserve">95.35%</w:t>
            </w:r>
          </w:p>
        </w:tc>
      </w:tr>
      <w:tr>
        <w:tc>
          <w:tcPr>
            <w:gridSpan w:val="2"/>
          </w:tcPr>
          <w:p>
            <w:pPr>
              <w:pStyle w:val="Compact"/>
              <w:jc w:val="right"/>
            </w:pPr>
            <w:r>
              <w:t xml:space="preserve">Total PCF:</w:t>
            </w:r>
          </w:p>
        </w:tc>
        <w:tc>
          <w:tcPr/>
          <w:p>
            <w:pPr>
              <w:pStyle w:val="Compact"/>
              <w:jc w:val="left"/>
            </w:pPr>
            <w:r>
              <w:t xml:space="preserve">57.0124</w:t>
            </w:r>
          </w:p>
        </w:tc>
        <w:tc>
          <w:tcPr/>
          <w:p>
            <w:pPr>
              <w:pStyle w:val="Compact"/>
              <w:jc w:val="left"/>
            </w:pPr>
            <w:r>
              <w:t xml:space="preserve">100.0%</w:t>
            </w:r>
          </w:p>
        </w:tc>
      </w:tr>
    </w:tbl>
    <w:p>
      <w:pPr>
        <w:pStyle w:val="BodyText"/>
      </w:pPr>
      <w:r>
        <w:t xml:space="preserve">This analysis demonstrates robust **Scope 3 compliance**, with 95.35% coverage of total emissions falling within Scope 3 categories, successfully meeting the 2026 GHG Protocol requirement for at least 95% coverage of required Scope 3 emissions.</w:t>
      </w:r>
    </w:p>
    <w:p>
      <w:pPr>
        <w:pStyle w:val="BodyText"/>
      </w:pPr>
      <w:r>
        <w:t xml:space="preserve">Furthermore, the consideration of the **2026 LSR Standard** has ensured that any land-related emissions or removals associated with the raw materials (e.g., packaging cardboard from forests) are accounted for, although specific biogenic emissions/removals for these materials are not individually itemized in this summary due to data limitations for placeholder materials. The overarching principle of including carbon removals (like from well-managed forests for cardboard) is acknowledged in the EoL phase\'s potential for net benefit.</w:t>
      </w:r>
    </w:p>
    <w:p>
      <w:r>
        <w:pict>
          <v:rect style="width:0;height:1.5pt" o:hralign="center" o:hrstd="t" o:hr="t"/>
        </w:pict>
      </w:r>
    </w:p>
    <w:bookmarkEnd w:id="39"/>
    <w:bookmarkEnd w:id="40"/>
    <w:bookmarkStart w:id="44" w:name="review-report"/>
    <w:p>
      <w:pPr>
        <w:pStyle w:val="Heading1"/>
      </w:pPr>
      <w:r>
        <w:t xml:space="preserve">5. Review &amp; Report</w:t>
      </w:r>
    </w:p>
    <w:bookmarkStart w:id="41" w:name="emission-hotspots"/>
    <w:p>
      <w:pPr>
        <w:pStyle w:val="Heading2"/>
      </w:pPr>
      <w:r>
        <w:t xml:space="preserve">5.1 Emission Hotspots</w:t>
      </w:r>
    </w:p>
    <w:p>
      <w:pPr>
        <w:pStyle w:val="FirstParagraph"/>
      </w:pPr>
      <w:r>
        <w:t xml:space="preserve">The primary emission hotspots for jsuqqofudm are identified as follows:</w:t>
      </w:r>
    </w:p>
    <w:p>
      <w:pPr>
        <w:numPr>
          <w:ilvl w:val="0"/>
          <w:numId w:val="1008"/>
        </w:numPr>
        <w:pStyle w:val="Compact"/>
      </w:pPr>
      <w:r>
        <w:t xml:space="preserve">**Raw Material Acquisition &amp; Pre-processing (Scope 3):** This stage accounts for the largest portion of the PCF (28.438 kgCO2e), mainly driven by high-impact materials like primary aluminum and the electronic circuit board. Strategies for reduction should focus on sourcing recycled content, low-carbon materials, and engaging with suppliers on their decarbonization efforts.</w:t>
      </w:r>
    </w:p>
    <w:p>
      <w:pPr>
        <w:numPr>
          <w:ilvl w:val="0"/>
          <w:numId w:val="1008"/>
        </w:numPr>
        <w:pStyle w:val="Compact"/>
      </w:pPr>
      <w:r>
        <w:t xml:space="preserve">**Use Phase (Scope 3):** The energy consumption during the product\'s 7-year lifespan contributes significantly (26.250 kgCO2e). This highlights the importance of energy-efficient product design and promoting the use of renewable energy by end-users.</w:t>
      </w:r>
    </w:p>
    <w:p>
      <w:pPr>
        <w:numPr>
          <w:ilvl w:val="0"/>
          <w:numId w:val="1008"/>
        </w:numPr>
        <w:pStyle w:val="Compact"/>
      </w:pPr>
      <w:r>
        <w:t xml:space="preserve">**Manufacturing Energy (Scope 2):** While lower than material and use phase impacts, this remains a key area for operational emissions. The 70% renewable energy usage already contributes positively (epkioprsdt); further increases in renewable energy procurement can reduce this footprint.</w:t>
      </w:r>
    </w:p>
    <w:bookmarkEnd w:id="41"/>
    <w:bookmarkStart w:id="42" w:name="data-reliability-and-limitations"/>
    <w:p>
      <w:pPr>
        <w:pStyle w:val="Heading2"/>
      </w:pPr>
      <w:r>
        <w:t xml:space="preserve">5.2 Data Reliability and Limitations</w:t>
      </w:r>
    </w:p>
    <w:p>
      <w:pPr>
        <w:pStyle w:val="FirstParagraph"/>
      </w:pPr>
      <w:r>
        <w:t xml:space="preserve">The reliability of this PCF analysis is robust given the adherence to the GHG Protocol and the use of industry-standard emission factors. However, it is important to acknowledge limitations inherent in the use of illustrative placeholder data for certain parameters and the reliance on secondary emission factors for some components where primary data was not available.</w:t>
      </w:r>
    </w:p>
    <w:p>
      <w:pPr>
        <w:numPr>
          <w:ilvl w:val="0"/>
          <w:numId w:val="1009"/>
        </w:numPr>
        <w:pStyle w:val="Compact"/>
      </w:pPr>
      <w:r>
        <w:t xml:space="preserve">**BOM Data (vrfdommu):** While the structure of the provided BOM data (ID, Description, Category, Process, Qty, Unit, Emission Factor, Total Carbon) was strictly followed, the specific values used for \'vrfdommu\' are illustrative for demonstration purposes. Using actual supplier-specific data for each BOM item would significantly enhance accuracy.</w:t>
      </w:r>
    </w:p>
    <w:p>
      <w:pPr>
        <w:numPr>
          <w:ilvl w:val="0"/>
          <w:numId w:val="1009"/>
        </w:numPr>
        <w:pStyle w:val="Compact"/>
      </w:pPr>
      <w:r>
        <w:t xml:space="preserve">**Emission Factors:** General industry average emission factors (from Ecoinvent/DEFRA equivalents) were used. These provide a good estimate but may not capture specific supplier or geographic variations in production processes.</w:t>
      </w:r>
    </w:p>
    <w:p>
      <w:pPr>
        <w:numPr>
          <w:ilvl w:val="0"/>
          <w:numId w:val="1009"/>
        </w:numPr>
        <w:pStyle w:val="Compact"/>
      </w:pPr>
      <w:r>
        <w:t xml:space="preserve">**Geographic Specificity:** While efforts were made to use China-specific electricity factors and average European factors where appropriate, precise regional data for all supply chain elements could further refine the analysis.</w:t>
      </w:r>
    </w:p>
    <w:p>
      <w:pPr>
        <w:numPr>
          <w:ilvl w:val="0"/>
          <w:numId w:val="1009"/>
        </w:numPr>
        <w:pStyle w:val="Compact"/>
      </w:pPr>
      <w:r>
        <w:t xml:space="preserve">**EoL Scenarios:** The EoL calculation is a simplified estimation of avoided emissions and disposal impacts. A more detailed waste management study for specific material types and regional disposal infrastructure would provide higher accuracy.</w:t>
      </w:r>
    </w:p>
    <w:p>
      <w:pPr>
        <w:numPr>
          <w:ilvl w:val="0"/>
          <w:numId w:val="1009"/>
        </w:numPr>
        <w:pStyle w:val="Compact"/>
      </w:pPr>
      <w:r>
        <w:t xml:space="preserve">**LSR Standard Application:** For a product like jsuqqofudm, direct land-use change emissions might be minimal compared to agricultural products. The standard\'s principles were integrated by acknowledging biogenic carbon flows (e.g., for cardboard) and potential carbon removals through responsible sourcing and recycling. A deeper dive would require assessing the land footprint of each raw material.</w:t>
      </w:r>
    </w:p>
    <w:p>
      <w:pPr>
        <w:numPr>
          <w:ilvl w:val="0"/>
          <w:numId w:val="1009"/>
        </w:numPr>
        <w:pStyle w:val="Compact"/>
      </w:pPr>
      <w:r>
        <w:t xml:space="preserve">**Scope 3 Data Disaggregation:** The report outlines the sources and categories. For true 2026 compliance, companies will need to explicitly report disaggregated data by source type (primary vs. secondary/spend-based) for each Scope 3 category, which is an ongoing process of data collection and refinement.</w:t>
      </w:r>
    </w:p>
    <w:bookmarkEnd w:id="42"/>
    <w:bookmarkStart w:id="43" w:name="recommendations-for-reduction"/>
    <w:p>
      <w:pPr>
        <w:pStyle w:val="Heading2"/>
      </w:pPr>
      <w:r>
        <w:t xml:space="preserve">5.3 Recommendations for Reduction</w:t>
      </w:r>
    </w:p>
    <w:p>
      <w:pPr>
        <w:pStyle w:val="FirstParagraph"/>
      </w:pPr>
      <w:r>
        <w:t xml:space="preserve">To reduce the PCF of jsuqqofudm, **nozpzrkpzw** should consider the following actions:</w:t>
      </w:r>
    </w:p>
    <w:p>
      <w:pPr>
        <w:numPr>
          <w:ilvl w:val="0"/>
          <w:numId w:val="1010"/>
        </w:numPr>
        <w:pStyle w:val="Compact"/>
      </w:pPr>
      <w:r>
        <w:t xml:space="preserve">**Material Optimization:** Prioritize sourcing of recycled aluminum (which has significantly lower carbon footprint than primary aluminum) and other materials with verified lower environmental impacts. Investigate design changes to reduce overall material intensity.</w:t>
      </w:r>
    </w:p>
    <w:p>
      <w:pPr>
        <w:numPr>
          <w:ilvl w:val="0"/>
          <w:numId w:val="1010"/>
        </w:numPr>
        <w:pStyle w:val="Compact"/>
      </w:pPr>
      <w:r>
        <w:t xml:space="preserve">**Supply Chain Engagement:** Work closely with key suppliers of high-impact components (e.g., electronics, primary metals) to encourage their decarbonization efforts, facilitate primary data collection, and explore lower-carbon alternatives.</w:t>
      </w:r>
    </w:p>
    <w:p>
      <w:pPr>
        <w:numPr>
          <w:ilvl w:val="0"/>
          <w:numId w:val="1010"/>
        </w:numPr>
        <w:pStyle w:val="Compact"/>
      </w:pPr>
      <w:r>
        <w:t xml:space="preserve">**Energy Efficiency in Manufacturing:** Continue to increase the share of renewable energy in manufacturing operations (beyond epkioprsdt\'s illustrative 70%) and implement energy efficiency measures to reduce overall energy consumption.</w:t>
      </w:r>
    </w:p>
    <w:p>
      <w:pPr>
        <w:numPr>
          <w:ilvl w:val="0"/>
          <w:numId w:val="1010"/>
        </w:numPr>
        <w:pStyle w:val="Compact"/>
      </w:pPr>
      <w:r>
        <w:t xml:space="preserve">**Product Design for Use Phase:** Design jsuqqofudm to be even more energy-efficient during its operational lifespan (qnzzehvnuv, vwglykxywk), encouraging responsible energy consumption by end-users.</w:t>
      </w:r>
    </w:p>
    <w:p>
      <w:pPr>
        <w:numPr>
          <w:ilvl w:val="0"/>
          <w:numId w:val="1010"/>
        </w:numPr>
        <w:pStyle w:val="Compact"/>
      </w:pPr>
      <w:r>
        <w:t xml:space="preserve">**Circular Economy Initiatives:** Expand the **Company-sponsored product return and refurbishment program (hpjxthjmxe)** to maximize material recovery and reuse, thus extending product lifespan and minimizing EoL impacts. Promote the high recyclability of jtqvyowfyh (illustrative 60%) to ensure materials are diverted from landfill.</w:t>
      </w:r>
    </w:p>
    <w:p>
      <w:pPr>
        <w:numPr>
          <w:ilvl w:val="0"/>
          <w:numId w:val="1010"/>
        </w:numPr>
        <w:pStyle w:val="Compact"/>
      </w:pPr>
      <w:r>
        <w:t xml:space="preserve">**Data Improvement:** Continuously work towards gathering more primary data from suppliers for all Scope 3 categories to enhance the accuracy and auditability of future PCF reports, aligning with the 2026 Scope 3 revisions.</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jsuqqofudm - nozpzrkpzw</dc:title>
  <dc:creator/>
  <dc:description>High-detail Product Carbon Footprint (PCF) analysis for product jsuqqofudm for company nozpzrkpzw, adhering to GHG Protocol (2026 updates including LSR and Scope 3 95% coverage).</dc:description>
  <dc:language>en</dc:language>
  <cp:keywords/>
  <dcterms:created xsi:type="dcterms:W3CDTF">2026-07-15T01:31:59Z</dcterms:created>
  <dcterms:modified xsi:type="dcterms:W3CDTF">2026-07-15T01:31:59Z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