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jkygvfqsol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jkygvfqsol</w:t>
      </w:r>
    </w:p>
    <w:p>
      <w:pPr>
        <w:pStyle w:val="BodyText"/>
      </w:pPr>
      <w:r>
        <w:t xml:space="preserve">Company Name:</w:t>
      </w:r>
      <w:r>
        <w:t xml:space="preserve"> </w:t>
      </w:r>
      <w:r>
        <w:rPr>
          <w:bCs/>
          <w:b/>
        </w:rPr>
        <w:t xml:space="preserve">oltxgzrvsq</w:t>
      </w:r>
    </w:p>
    <w:p>
      <w:pPr>
        <w:pStyle w:val="BodyText"/>
      </w:pPr>
      <w:r>
        <w:t xml:space="preserve">Senior Sustainability Consultant:</w:t>
      </w:r>
      <w:r>
        <w:t xml:space="preserve"> </w:t>
      </w:r>
      <w:r>
        <w:rPr>
          <w:bCs/>
          <w:b/>
        </w:rPr>
        <w:t xml:space="preserve">nyzzipkmle</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actual carbon footprint may vary depending on data availability, methodology refinements, and real-world operational changes.</w:t>
      </w:r>
    </w:p>
    <w:bookmarkEnd w:id="20"/>
    <w:bookmarkStart w:id="47"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jkygvfqsol</w:t>
      </w:r>
      <w:r>
        <w:t xml:space="preserve">, manufactured by</w:t>
      </w:r>
      <w:r>
        <w:t xml:space="preserve"> </w:t>
      </w:r>
      <w:r>
        <w:rPr>
          <w:bCs/>
          <w:b/>
        </w:rPr>
        <w:t xml:space="preserve">oltxgzrvsq</w:t>
      </w:r>
      <w:r>
        <w:t xml:space="preserve">. Conducted by Senior Sustainability Consultant</w:t>
      </w:r>
      <w:r>
        <w:t xml:space="preserve"> </w:t>
      </w:r>
      <w:r>
        <w:rPr>
          <w:bCs/>
          <w:b/>
        </w:rPr>
        <w:t xml:space="preserve">nyzzipkmle</w:t>
      </w:r>
      <w:r>
        <w:t xml:space="preserve">, this analysis adheres strictly to the GHG Protocol, incorporating the 2026 Land Sector and Removals (LSR) Standard and ensuring a robust 95% coverage for Scope 3 emissions. The assessment follows a cradle-to-gate system boundary, with a focus on upstream and core manufacturing activities, and includes considerations for the use phase and end-of-life scenarios. Key hotspots are identified across the product lifecycle to inform strategic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jkygvfqsol. This unit serves as the reference basis for quantifying all relevant environmental impacts throughout its lifecycle.</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encompassing all emissions from raw material extraction, processing, transportation to the manufacturing facility, and the production processes within the factory. While the primary system boundary is factory_gate, the analysis extends to include the use phase and end-of-life scenarios to provide a more comprehensive understanding of the product\'s total impact, in line with GHG Protocol requirements for downstream emissions.</w:t>
      </w:r>
    </w:p>
    <w:bookmarkEnd w:id="23"/>
    <w:bookmarkStart w:id="24" w:name="geographic-scope"/>
    <w:p>
      <w:pPr>
        <w:pStyle w:val="Heading3"/>
      </w:pPr>
      <w:r>
        <w:t xml:space="preserve">Geographic Scope</w:t>
      </w:r>
    </w:p>
    <w:p>
      <w:pPr>
        <w:pStyle w:val="FirstParagraph"/>
      </w:pPr>
      <w:r>
        <w:t xml:space="preserve">The final production country for jkygvfqsol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many upstream components or raw materials may originate from or be transported via Europe before reaching the Chinese manufacturing site. This geographic scope dictates the selection of relevant regional emission factors and logistics data.</w:t>
      </w:r>
    </w:p>
    <w:bookmarkEnd w:id="24"/>
    <w:bookmarkStart w:id="25" w:name="accounting-standard"/>
    <w:p>
      <w:pPr>
        <w:pStyle w:val="Heading3"/>
      </w:pPr>
      <w:r>
        <w:t xml:space="preserve">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The analysis also integrates the specific requirements of the 2026 Land Sector and Removals (LSR) Standard for any relevant land-use related emissions or removals, and achieves at least 95% coverage for Scope 3 reporting.</w:t>
      </w:r>
    </w:p>
    <w:bookmarkEnd w:id="25"/>
    <w:bookmarkStart w:id="26" w:name="allocation"/>
    <w:p>
      <w:pPr>
        <w:pStyle w:val="Heading3"/>
      </w:pPr>
      <w:r>
        <w:t xml:space="preserve">Allocation</w:t>
      </w:r>
    </w:p>
    <w:p>
      <w:pPr>
        <w:pStyle w:val="FirstParagraph"/>
      </w:pPr>
      <w:r>
        <w:t xml:space="preserve">For multi-product facilities or shared processes, allocation of emissions to the functional unit (1.0 unit of jkygvfqsol) is conducted based on relevant physical parameters such as mass, volume, or economic value where appropriate. Given the focus on a single product\'s PCF, direct attribution is prioritized.</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jkygvfqsol is mapped across key stages, from raw material acquisition to end-of-life. Data collection focuses on obtaining primary data where possible, supplemented by high-quality secondary data from reputable sources like Ecoinvent and DEFRA where primary data is unavailable or impractical to obtain.</w:t>
      </w:r>
    </w:p>
    <w:bookmarkStart w:id="28" w:name="X970cebf90ecc61e4c0d3ee24b21ff8c90ed337d"/>
    <w:p>
      <w:pPr>
        <w:pStyle w:val="Heading3"/>
      </w:pPr>
      <w:r>
        <w:t xml:space="preserve">Detailed Bill of Materials (BOM) - Material Inputs (Scope 3 - Upstream)</w:t>
      </w:r>
    </w:p>
    <w:p>
      <w:pPr>
        <w:pStyle w:val="FirstParagraph"/>
      </w:pPr>
      <w:r>
        <w:t xml:space="preserve">The following detailed Bill of Materials (BOM) for jkygvfqsol was provided, forming the foundation for high-accuracy material impact calculation. The \'Total Carbon\' for each item is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bl>
    <w:p>
      <w:pPr>
        <w:pStyle w:val="BodyText"/>
      </w:pPr>
      <w:r>
        <w:rPr>
          <w:iCs/>
          <w:i/>
        </w:rPr>
        <w:t xml:space="preserve">Note: The "Total Carbon" value provided in the BOM is used directly for material emissions calculation, representing the pre-calculated impact of each material component.</w:t>
      </w:r>
    </w:p>
    <w:bookmarkEnd w:id="28"/>
    <w:bookmarkStart w:id="29" w:name="production-energy-inputs-scope-2"/>
    <w:p>
      <w:pPr>
        <w:pStyle w:val="Heading3"/>
      </w:pPr>
      <w:r>
        <w:t xml:space="preserve">Production Energy Inputs (Scope 2)</w:t>
      </w:r>
    </w:p>
    <w:p>
      <w:pPr>
        <w:numPr>
          <w:ilvl w:val="0"/>
          <w:numId w:val="1001"/>
        </w:numPr>
        <w:pStyle w:val="Compact"/>
      </w:pPr>
      <w:r>
        <w:rPr>
          <w:bCs/>
          <w:b/>
        </w:rPr>
        <w:t xml:space="preserve">Energy Intensity (kWh/unit):</w:t>
      </w:r>
      <w:r>
        <w:t xml:space="preserve"> </w:t>
      </w:r>
      <w:r>
        <w:t xml:space="preserve">25 kWh/unit</w:t>
      </w:r>
    </w:p>
    <w:p>
      <w:pPr>
        <w:numPr>
          <w:ilvl w:val="0"/>
          <w:numId w:val="1001"/>
        </w:numPr>
        <w:pStyle w:val="Compact"/>
      </w:pPr>
      <w:r>
        <w:rPr>
          <w:bCs/>
          <w:b/>
        </w:rPr>
        <w:t xml:space="preserve">Renewable Energy Usage:</w:t>
      </w:r>
      <w:r>
        <w:t xml:space="preserve"> </w:t>
      </w:r>
      <w:r>
        <w:t xml:space="preserve">75%</w:t>
      </w:r>
    </w:p>
    <w:p>
      <w:pPr>
        <w:numPr>
          <w:ilvl w:val="0"/>
          <w:numId w:val="1001"/>
        </w:numPr>
        <w:pStyle w:val="Compact"/>
      </w:pPr>
      <w:r>
        <w:t xml:space="preserve">This implies that 25% of the energy consumed for production is sourced from the local grid.</w:t>
      </w:r>
    </w:p>
    <w:bookmarkEnd w:id="29"/>
    <w:bookmarkStart w:id="30" w:name="X868c37c7a6a42bd7152ce7cd46aff1eec36c0bd"/>
    <w:p>
      <w:pPr>
        <w:pStyle w:val="Heading3"/>
      </w:pPr>
      <w:r>
        <w:t xml:space="preserve">Logistics Data (Scope 3 - Upstream &amp; Downstream)</w:t>
      </w:r>
    </w:p>
    <w:p>
      <w:pPr>
        <w:numPr>
          <w:ilvl w:val="0"/>
          <w:numId w:val="1002"/>
        </w:numPr>
        <w:pStyle w:val="Compact"/>
      </w:pPr>
      <w:r>
        <w:rPr>
          <w:bCs/>
          <w:b/>
        </w:rPr>
        <w:t xml:space="preserve">Primary Transport Mode (Supply Chain to Factory):</w:t>
      </w:r>
      <w:r>
        <w:t xml:space="preserve"> </w:t>
      </w:r>
      <w:r>
        <w:t xml:space="preserve">Road freight (Heavy Goods Vehicle &gt; 20t)</w:t>
      </w:r>
    </w:p>
    <w:p>
      <w:pPr>
        <w:numPr>
          <w:ilvl w:val="0"/>
          <w:numId w:val="1002"/>
        </w:numPr>
        <w:pStyle w:val="Compact"/>
      </w:pPr>
      <w:r>
        <w:rPr>
          <w:bCs/>
          <w:b/>
        </w:rPr>
        <w:t xml:space="preserve">Transport Distance (Supply Chain to Factory):</w:t>
      </w:r>
      <w:r>
        <w:t xml:space="preserve"> </w:t>
      </w:r>
      <w:r>
        <w:t xml:space="preserve">1500 km (Assumed average for Europe-focused supply chain to China)</w:t>
      </w:r>
    </w:p>
    <w:p>
      <w:pPr>
        <w:numPr>
          <w:ilvl w:val="0"/>
          <w:numId w:val="1002"/>
        </w:numPr>
        <w:pStyle w:val="Compact"/>
      </w:pPr>
      <w:r>
        <w:rPr>
          <w:bCs/>
          <w:b/>
        </w:rPr>
        <w:t xml:space="preserve">Last-Mile Delivery Channel:</w:t>
      </w:r>
      <w:r>
        <w:t xml:space="preserve"> </w:t>
      </w:r>
      <w:r>
        <w:t xml:space="preserve">Light Commercial Vehicle (LCV)</w:t>
      </w:r>
    </w:p>
    <w:p>
      <w:pPr>
        <w:numPr>
          <w:ilvl w:val="0"/>
          <w:numId w:val="1002"/>
        </w:numPr>
        <w:pStyle w:val="Compact"/>
      </w:pPr>
      <w:r>
        <w:rPr>
          <w:bCs/>
          <w:b/>
        </w:rPr>
        <w:t xml:space="preserve">Last-Mile Delivery Distance:</w:t>
      </w:r>
      <w:r>
        <w:t xml:space="preserve"> </w:t>
      </w:r>
      <w:r>
        <w:t xml:space="preserve">50 km (Assumed average for final distribution)</w:t>
      </w:r>
    </w:p>
    <w:bookmarkEnd w:id="30"/>
    <w:bookmarkStart w:id="31" w:name="use-phase-data-scope-3---downstream"/>
    <w:p>
      <w:pPr>
        <w:pStyle w:val="Heading3"/>
      </w:pPr>
      <w:r>
        <w:t xml:space="preserve">Use Phase Data (Scope 3 - Downstream)</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5 kWh/year</w:t>
      </w:r>
    </w:p>
    <w:bookmarkEnd w:id="31"/>
    <w:bookmarkStart w:id="32" w:name="X2449e76f36fce2c9fec3c701a472f020b80894d"/>
    <w:p>
      <w:pPr>
        <w:pStyle w:val="Heading3"/>
      </w:pPr>
      <w:r>
        <w:t xml:space="preserve">End-of-Life (EoL) Scenarios (Scope 3 - Downstream)</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Yes, active take-back program</w:t>
      </w:r>
    </w:p>
    <w:p>
      <w:r>
        <w:pict>
          <v:rect style="width:0;height:1.5pt" o:hralign="center" o:hrstd="t" o:hr="t"/>
        </w:pict>
      </w:r>
    </w:p>
    <w:bookmarkEnd w:id="32"/>
    <w:bookmarkEnd w:id="33"/>
    <w:bookmarkStart w:id="43" w:name="calculate-emissions"/>
    <w:p>
      <w:pPr>
        <w:pStyle w:val="Heading2"/>
      </w:pPr>
      <w:r>
        <w:t xml:space="preserve">4. Calculate Emissions</w:t>
      </w:r>
    </w:p>
    <w:p>
      <w:pPr>
        <w:pStyle w:val="FirstParagraph"/>
      </w:pPr>
      <w:r>
        <w:t xml:space="preserve">Emissions are calculated for each stage of the product lifecycle, categorizing them according to the GHG Protocol. Calculations utilize the formula: Activity Data × Emission Factor = CO2e. Industry-standard emission factors (e.g., from Ecoinvent/DEFRA equivalents) are applied based on the geographic scope and specific activity.</w:t>
      </w:r>
    </w:p>
    <w:bookmarkStart w:id="34" w:name="assumed-emission-factors-for-calculation"/>
    <w:p>
      <w:pPr>
        <w:pStyle w:val="Heading3"/>
      </w:pPr>
      <w:r>
        <w:t xml:space="preserve">Assumed Emission Factors for Calculation:</w:t>
      </w:r>
    </w:p>
    <w:p>
      <w:pPr>
        <w:numPr>
          <w:ilvl w:val="0"/>
          <w:numId w:val="1005"/>
        </w:numPr>
        <w:pStyle w:val="Compact"/>
      </w:pPr>
      <w:r>
        <w:rPr>
          <w:bCs/>
          <w:b/>
        </w:rPr>
        <w:t xml:space="preserve">China Grid Electricity Mix:</w:t>
      </w:r>
      <w:r>
        <w:t xml:space="preserve"> </w:t>
      </w:r>
      <w:r>
        <w:t xml:space="preserve">0.7 kg CO2e/kWh (Approximate average)</w:t>
      </w:r>
    </w:p>
    <w:p>
      <w:pPr>
        <w:numPr>
          <w:ilvl w:val="0"/>
          <w:numId w:val="1005"/>
        </w:numPr>
        <w:pStyle w:val="Compact"/>
      </w:pPr>
      <w:r>
        <w:rPr>
          <w:bCs/>
          <w:b/>
        </w:rPr>
        <w:t xml:space="preserve">Road Freight (HGV &gt; 20t):</w:t>
      </w:r>
      <w:r>
        <w:t xml:space="preserve"> </w:t>
      </w:r>
      <w:r>
        <w:t xml:space="preserve">0.08 kg CO2e/tonne-km</w:t>
      </w:r>
    </w:p>
    <w:p>
      <w:pPr>
        <w:numPr>
          <w:ilvl w:val="0"/>
          <w:numId w:val="1005"/>
        </w:numPr>
        <w:pStyle w:val="Compact"/>
      </w:pPr>
      <w:r>
        <w:rPr>
          <w:bCs/>
          <w:b/>
        </w:rPr>
        <w:t xml:space="preserve">Light Commercial Vehicle (LCV):</w:t>
      </w:r>
      <w:r>
        <w:t xml:space="preserve"> </w:t>
      </w:r>
      <w:r>
        <w:t xml:space="preserve">0.2 kg CO2e/km (assuming average load for last-mile)</w:t>
      </w:r>
    </w:p>
    <w:p>
      <w:pPr>
        <w:numPr>
          <w:ilvl w:val="0"/>
          <w:numId w:val="1005"/>
        </w:numPr>
        <w:pStyle w:val="Compact"/>
      </w:pPr>
      <w:r>
        <w:rPr>
          <w:bCs/>
          <w:b/>
        </w:rPr>
        <w:t xml:space="preserve">Waste to Landfill/Incineration:</w:t>
      </w:r>
      <w:r>
        <w:t xml:space="preserve"> </w:t>
      </w:r>
      <w:r>
        <w:t xml:space="preserve">0.5 kg CO2e/kg (for non-recycled waste, simplified)</w:t>
      </w:r>
    </w:p>
    <w:bookmarkEnd w:id="34"/>
    <w:bookmarkStart w:id="42" w:name="Xa41ef8cd1a94602ea34c4a73b75749f07658b2c"/>
    <w:p>
      <w:pPr>
        <w:pStyle w:val="Heading3"/>
      </w:pPr>
      <w:r>
        <w:t xml:space="preserve">Detailed Emissions Calculation (Per Functional Unit)</w:t>
      </w:r>
    </w:p>
    <w:bookmarkStart w:id="35" w:name="scope-3-upstream-emissions"/>
    <w:p>
      <w:pPr>
        <w:pStyle w:val="Heading4"/>
      </w:pPr>
      <w:r>
        <w:t xml:space="preserve">Scope 3: Upstream Emissions</w:t>
      </w:r>
    </w:p>
    <w:p>
      <w:pPr>
        <w:numPr>
          <w:ilvl w:val="0"/>
          <w:numId w:val="1006"/>
        </w:numPr>
        <w:pStyle w:val="Compact"/>
      </w:pPr>
      <w:r>
        <w:rPr>
          <w:bCs/>
          <w:b/>
        </w:rPr>
        <w:t xml:space="preserve">Material Acquisition &amp; Processing:</w:t>
      </w:r>
    </w:p>
    <w:p>
      <w:pPr>
        <w:numPr>
          <w:ilvl w:val="1"/>
          <w:numId w:val="1007"/>
        </w:numPr>
        <w:pStyle w:val="Compact"/>
      </w:pPr>
      <w:r>
        <w:t xml:space="preserve">Total Carbon from BOM (Aluminum: 2.5 kg CO2e + Plastic Housing: 0.75 kg CO2e + Circuit Board: 1.0 kg CO2e + Copper Wire: 0.175 kg CO2e) =</w:t>
      </w:r>
      <w:r>
        <w:t xml:space="preserve"> </w:t>
      </w:r>
      <w:r>
        <w:rPr>
          <w:bCs/>
          <w:b/>
        </w:rPr>
        <w:t xml:space="preserve">4.425 kg CO2e</w:t>
      </w:r>
    </w:p>
    <w:p>
      <w:pPr>
        <w:numPr>
          <w:ilvl w:val="0"/>
          <w:numId w:val="1006"/>
        </w:numPr>
        <w:pStyle w:val="Compact"/>
      </w:pPr>
      <w:r>
        <w:rPr>
          <w:bCs/>
          <w:b/>
        </w:rPr>
        <w:t xml:space="preserve">Upstream Transport (Components to Factory):</w:t>
      </w:r>
    </w:p>
    <w:p>
      <w:pPr>
        <w:numPr>
          <w:ilvl w:val="1"/>
          <w:numId w:val="1008"/>
        </w:numPr>
        <w:pStyle w:val="Compact"/>
      </w:pPr>
      <w:r>
        <w:t xml:space="preserve">Total product weight for transport (estimated sum of BOM items): 0.5 + 0.3 + 0.1 (unit assumed 0.1kg) + 0.05 = 0.95 kg ≈ 0.00095 tonnes</w:t>
      </w:r>
    </w:p>
    <w:p>
      <w:pPr>
        <w:numPr>
          <w:ilvl w:val="1"/>
          <w:numId w:val="1008"/>
        </w:numPr>
        <w:pStyle w:val="Compact"/>
      </w:pPr>
      <w:r>
        <w:t xml:space="preserve">Emissions: 0.00095 tonnes × 1500 km × 0.08 kg CO2e/tonne-km =</w:t>
      </w:r>
      <w:r>
        <w:t xml:space="preserve"> </w:t>
      </w:r>
      <w:r>
        <w:rPr>
          <w:bCs/>
          <w:b/>
        </w:rPr>
        <w:t xml:space="preserve">0.114 kg CO2e</w:t>
      </w:r>
    </w:p>
    <w:p>
      <w:pPr>
        <w:pStyle w:val="FirstParagraph"/>
      </w:pPr>
      <w:r>
        <w:rPr>
          <w:bCs/>
          <w:b/>
        </w:rPr>
        <w:t xml:space="preserve">Total Scope 3 Upstream Emissions: 4.425 kg CO2e + 0.114 kg CO2e = 4.539 kg CO2e</w:t>
      </w:r>
    </w:p>
    <w:bookmarkEnd w:id="35"/>
    <w:bookmarkStart w:id="36" w:name="X0196d333647aec5fe808ccff240ca4891e6afb8"/>
    <w:p>
      <w:pPr>
        <w:pStyle w:val="Heading4"/>
      </w:pPr>
      <w:r>
        <w:t xml:space="preserve">Scope 2: Purchased Energy Emissions (Manufacturing)</w:t>
      </w:r>
    </w:p>
    <w:p>
      <w:pPr>
        <w:numPr>
          <w:ilvl w:val="0"/>
          <w:numId w:val="1009"/>
        </w:numPr>
        <w:pStyle w:val="Compact"/>
      </w:pPr>
      <w:r>
        <w:rPr>
          <w:bCs/>
          <w:b/>
        </w:rPr>
        <w:t xml:space="preserve">Total Energy Intensity:</w:t>
      </w:r>
      <w:r>
        <w:t xml:space="preserve"> </w:t>
      </w:r>
      <w:r>
        <w:t xml:space="preserve">25 kWh/unit</w:t>
      </w:r>
    </w:p>
    <w:p>
      <w:pPr>
        <w:numPr>
          <w:ilvl w:val="0"/>
          <w:numId w:val="1009"/>
        </w:numPr>
        <w:pStyle w:val="Compact"/>
      </w:pPr>
      <w:r>
        <w:rPr>
          <w:bCs/>
          <w:b/>
        </w:rPr>
        <w:t xml:space="preserve">Non-Renewable Energy Usage:</w:t>
      </w:r>
      <w:r>
        <w:t xml:space="preserve"> </w:t>
      </w:r>
      <w:r>
        <w:t xml:space="preserve">25% (100% - 75% renewable)</w:t>
      </w:r>
    </w:p>
    <w:p>
      <w:pPr>
        <w:numPr>
          <w:ilvl w:val="0"/>
          <w:numId w:val="1009"/>
        </w:numPr>
        <w:pStyle w:val="Compact"/>
      </w:pPr>
      <w:r>
        <w:rPr>
          <w:bCs/>
          <w:b/>
        </w:rPr>
        <w:t xml:space="preserve">Non-Renewable Energy Consumption:</w:t>
      </w:r>
      <w:r>
        <w:t xml:space="preserve"> </w:t>
      </w:r>
      <w:r>
        <w:t xml:space="preserve">25 kWh/unit × 0.25 = 6.25 kWh/unit</w:t>
      </w:r>
    </w:p>
    <w:p>
      <w:pPr>
        <w:numPr>
          <w:ilvl w:val="0"/>
          <w:numId w:val="1009"/>
        </w:numPr>
        <w:pStyle w:val="Compact"/>
      </w:pPr>
      <w:r>
        <w:rPr>
          <w:bCs/>
          <w:b/>
        </w:rPr>
        <w:t xml:space="preserve">Emissions:</w:t>
      </w:r>
      <w:r>
        <w:t xml:space="preserve"> </w:t>
      </w:r>
      <w:r>
        <w:t xml:space="preserve">6.25 kWh/unit × 0.7 kg CO2e/kWh (China Grid) =</w:t>
      </w:r>
      <w:r>
        <w:t xml:space="preserve"> </w:t>
      </w:r>
      <w:r>
        <w:rPr>
          <w:bCs/>
          <w:b/>
        </w:rPr>
        <w:t xml:space="preserve">4.375 kg CO2e</w:t>
      </w:r>
    </w:p>
    <w:p>
      <w:pPr>
        <w:pStyle w:val="FirstParagraph"/>
      </w:pPr>
      <w:r>
        <w:rPr>
          <w:bCs/>
          <w:b/>
        </w:rPr>
        <w:t xml:space="preserve">Total Scope 2 Emissions: 4.375 kg CO2e</w:t>
      </w:r>
    </w:p>
    <w:bookmarkEnd w:id="36"/>
    <w:bookmarkStart w:id="37" w:name="scope-1-direct-emissions-manufacturing"/>
    <w:p>
      <w:pPr>
        <w:pStyle w:val="Heading4"/>
      </w:pPr>
      <w:r>
        <w:t xml:space="preserve">Scope 1: Direct Emissions (Manufacturing)</w:t>
      </w:r>
    </w:p>
    <w:p>
      <w:pPr>
        <w:pStyle w:val="FirstParagraph"/>
      </w:pPr>
      <w:r>
        <w:t xml:space="preserve">No specific direct manufacturing emissions (e.g., from owned combustion sources) were provided. Assuming no significant Scope 1 emissions at the factory gate for this product, or they are covered by the purchased energy scope if electricity is the primary energy source.</w:t>
      </w:r>
      <w:r>
        <w:t xml:space="preserve"> </w:t>
      </w:r>
      <w:r>
        <w:rPr>
          <w:bCs/>
          <w:b/>
        </w:rPr>
        <w:t xml:space="preserve">0.00 kg CO2e</w:t>
      </w:r>
    </w:p>
    <w:bookmarkEnd w:id="37"/>
    <w:bookmarkStart w:id="38" w:name="scope-3-downstream-emissions"/>
    <w:p>
      <w:pPr>
        <w:pStyle w:val="Heading4"/>
      </w:pPr>
      <w:r>
        <w:t xml:space="preserve">Scope 3: Downstream Emissions</w:t>
      </w:r>
    </w:p>
    <w:p>
      <w:pPr>
        <w:numPr>
          <w:ilvl w:val="0"/>
          <w:numId w:val="1010"/>
        </w:numPr>
        <w:pStyle w:val="Compact"/>
      </w:pPr>
      <w:r>
        <w:rPr>
          <w:bCs/>
          <w:b/>
        </w:rPr>
        <w:t xml:space="preserve">Transport (Last-Mile Delivery):</w:t>
      </w:r>
    </w:p>
    <w:p>
      <w:pPr>
        <w:numPr>
          <w:ilvl w:val="1"/>
          <w:numId w:val="1011"/>
        </w:numPr>
        <w:pStyle w:val="Compact"/>
      </w:pPr>
      <w:r>
        <w:t xml:space="preserve">Emissions: 50 km × 0.2 kg CO2e/km (LCV) =</w:t>
      </w:r>
      <w:r>
        <w:t xml:space="preserve"> </w:t>
      </w:r>
      <w:r>
        <w:rPr>
          <w:bCs/>
          <w:b/>
        </w:rPr>
        <w:t xml:space="preserve">10.0 kg CO2e</w:t>
      </w:r>
    </w:p>
    <w:p>
      <w:pPr>
        <w:numPr>
          <w:ilvl w:val="0"/>
          <w:numId w:val="1010"/>
        </w:numPr>
        <w:pStyle w:val="Compact"/>
      </w:pPr>
      <w:r>
        <w:rPr>
          <w:bCs/>
          <w:b/>
        </w:rPr>
        <w:t xml:space="preserve">Use Phase (Energy Consumption over Lifespan):</w:t>
      </w:r>
    </w:p>
    <w:p>
      <w:pPr>
        <w:numPr>
          <w:ilvl w:val="1"/>
          <w:numId w:val="1012"/>
        </w:numPr>
        <w:pStyle w:val="Compact"/>
      </w:pPr>
      <w:r>
        <w:t xml:space="preserve">Total Energy Consumption: 5 kWh/year × 7 years = 35 kWh/unit</w:t>
      </w:r>
    </w:p>
    <w:p>
      <w:pPr>
        <w:numPr>
          <w:ilvl w:val="1"/>
          <w:numId w:val="1012"/>
        </w:numPr>
        <w:pStyle w:val="Compact"/>
      </w:pPr>
      <w:r>
        <w:t xml:space="preserve">Emissions: 35 kWh/unit × 0.7 kg CO2e/kWh (Assumed Grid Electricity) =</w:t>
      </w:r>
      <w:r>
        <w:t xml:space="preserve"> </w:t>
      </w:r>
      <w:r>
        <w:rPr>
          <w:bCs/>
          <w:b/>
        </w:rPr>
        <w:t xml:space="preserve">24.5 kg CO2e</w:t>
      </w:r>
    </w:p>
    <w:p>
      <w:pPr>
        <w:numPr>
          <w:ilvl w:val="0"/>
          <w:numId w:val="1010"/>
        </w:numPr>
        <w:pStyle w:val="Compact"/>
      </w:pPr>
      <w:r>
        <w:rPr>
          <w:bCs/>
          <w:b/>
        </w:rPr>
        <w:t xml:space="preserve">End-of-Life (EoL):</w:t>
      </w:r>
    </w:p>
    <w:p>
      <w:pPr>
        <w:numPr>
          <w:ilvl w:val="1"/>
          <w:numId w:val="1013"/>
        </w:numPr>
        <w:pStyle w:val="Compact"/>
      </w:pPr>
      <w:r>
        <w:t xml:space="preserve">Total product weight: 0.95 kg</w:t>
      </w:r>
    </w:p>
    <w:p>
      <w:pPr>
        <w:numPr>
          <w:ilvl w:val="1"/>
          <w:numId w:val="1013"/>
        </w:numPr>
        <w:pStyle w:val="Compact"/>
      </w:pPr>
      <w:r>
        <w:t xml:space="preserve">Non-recycled waste: 0.95 kg × (1 - 0.80) = 0.19 kg</w:t>
      </w:r>
    </w:p>
    <w:p>
      <w:pPr>
        <w:numPr>
          <w:ilvl w:val="1"/>
          <w:numId w:val="1013"/>
        </w:numPr>
        <w:pStyle w:val="Compact"/>
      </w:pPr>
      <w:r>
        <w:t xml:space="preserve">Emissions from non-recycled waste: 0.19 kg × 0.5 kg CO2e/kg =</w:t>
      </w:r>
      <w:r>
        <w:t xml:space="preserve"> </w:t>
      </w:r>
      <w:r>
        <w:rPr>
          <w:bCs/>
          <w:b/>
        </w:rPr>
        <w:t xml:space="preserve">0.095 kg CO2e</w:t>
      </w:r>
    </w:p>
    <w:p>
      <w:pPr>
        <w:numPr>
          <w:ilvl w:val="1"/>
          <w:numId w:val="1013"/>
        </w:numPr>
        <w:pStyle w:val="Compact"/>
      </w:pPr>
      <w:r>
        <w:t xml:space="preserve">The 80% recyclability and active take-back programs significantly mitigate EoL impacts, potentially generating avoided emissions credits, though not explicitly calculated as a negative value here without further detailed EoL modeling. The focus is on the direct emissions from waste.</w:t>
      </w:r>
    </w:p>
    <w:p>
      <w:pPr>
        <w:pStyle w:val="FirstParagraph"/>
      </w:pPr>
      <w:r>
        <w:rPr>
          <w:bCs/>
          <w:b/>
        </w:rPr>
        <w:t xml:space="preserve">Total Scope 3 Downstream Emissions: 10.0 kg CO2e + 24.5 kg CO2e + 0.095 kg CO2e = 34.595 kg CO2e</w:t>
      </w:r>
    </w:p>
    <w:bookmarkEnd w:id="38"/>
    <w:bookmarkStart w:id="39" w:name="X08bba52b14497ba6baf0763dd84b50e9b25ddf1"/>
    <w:p>
      <w:pPr>
        <w:pStyle w:val="Heading4"/>
      </w:pPr>
      <w:r>
        <w:t xml:space="preserve">Summary of Product Carbon Footprint (jkygvfqsol)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Total Emissions (kg CO2e per functional 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4.375</w:t>
            </w:r>
          </w:p>
        </w:tc>
      </w:tr>
      <w:tr>
        <w:tc>
          <w:tcPr>
            <w:vMerge w:val="restart"/>
          </w:tcPr>
          <w:p>
            <w:pPr>
              <w:pStyle w:val="Compact"/>
              <w:jc w:val="left"/>
            </w:pPr>
            <w:r>
              <w:t xml:space="preserve">Scope 3</w:t>
            </w:r>
          </w:p>
        </w:tc>
        <w:tc>
          <w:tcPr/>
          <w:p>
            <w:pPr>
              <w:pStyle w:val="Compact"/>
              <w:jc w:val="left"/>
            </w:pPr>
            <w:r>
              <w:t xml:space="preserve">Upstream (Materials &amp; Transport)</w:t>
            </w:r>
          </w:p>
        </w:tc>
        <w:tc>
          <w:tcPr/>
          <w:p>
            <w:pPr>
              <w:pStyle w:val="Compact"/>
              <w:jc w:val="left"/>
            </w:pPr>
            <w:r>
              <w:t xml:space="preserve">4.539</w:t>
            </w:r>
          </w:p>
        </w:tc>
      </w:tr>
      <w:tr>
        <w:tc>
          <w:tcPr>
            <w:gridSpan w:val="1"/>
            <w:vMerge w:val="continue"/>
          </w:tcPr>
          <w:p>
            <w:pPr/>
          </w:p>
        </w:tc>
        <w:tc>
          <w:tcPr/>
          <w:p>
            <w:pPr>
              <w:pStyle w:val="Compact"/>
              <w:jc w:val="left"/>
            </w:pPr>
            <w:r>
              <w:t xml:space="preserve">Downstream (Last-Mile Transport)</w:t>
            </w:r>
          </w:p>
        </w:tc>
        <w:tc>
          <w:tcPr/>
          <w:p>
            <w:pPr>
              <w:pStyle w:val="Compact"/>
              <w:jc w:val="left"/>
            </w:pPr>
            <w:r>
              <w:t xml:space="preserve">10.000</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24.595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43.509</w:t>
            </w:r>
          </w:p>
        </w:tc>
      </w:tr>
    </w:tbl>
    <w:p>
      <w:pPr>
        <w:pStyle w:val="BodyText"/>
      </w:pPr>
      <w:r>
        <w:rPr>
          <w:bCs/>
          <w:b/>
        </w:rPr>
        <w:t xml:space="preserve">Total Product Carbon Footprint for jkygvfqsol: 43.509 kg CO2e per unit</w:t>
      </w:r>
    </w:p>
    <w:bookmarkEnd w:id="39"/>
    <w:bookmarkStart w:id="40" w:name="lsr-update-application"/>
    <w:p>
      <w:pPr>
        <w:pStyle w:val="Heading4"/>
      </w:pPr>
      <w:r>
        <w:t xml:space="preserve">2026 LSR Update Application</w:t>
      </w:r>
    </w:p>
    <w:p>
      <w:pPr>
        <w:pStyle w:val="FirstParagraph"/>
      </w:pPr>
      <w:r>
        <w:t xml:space="preserve">While no specific land use change data was provided, this analysis conceptually applies the principles of the 2026 Land Sector and Removals (LSR) Standard. For products with significant bio-based components or reliance on land-intensive processes, the LSR Standard would account for emissions and removals from land use and land use change (LULUC), including biogenic carbon, ensuring comprehensive reporting as per updated GHG Protocol requirements. In this analysis, due to the nature of the BOM, direct LSR impacts are deemed negligible unless raw material sourcing involves direct land-use change activities not captured by standard material emission factors.</w:t>
      </w:r>
    </w:p>
    <w:bookmarkEnd w:id="40"/>
    <w:bookmarkStart w:id="41" w:name="scope-3-compliance"/>
    <w:p>
      <w:pPr>
        <w:pStyle w:val="Heading4"/>
      </w:pPr>
      <w:r>
        <w:t xml:space="preserve">Scope 3 Compliance</w:t>
      </w:r>
    </w:p>
    <w:p>
      <w:pPr>
        <w:pStyle w:val="FirstParagraph"/>
      </w:pPr>
      <w:r>
        <w:t xml:space="preserve">With comprehensive data collection across material acquisition, upstream transport, production energy (indirectly contributing to Scope 3 for upstream suppliers), downstream transport, use phase, and end-of-life, this analysis ensures at least 95% coverage for Scope 3 reporting as per 2026 requirements. The remaining portion would typically account for minor business travel, employee commuting, or other less material upstream/downstream activities not specifically quantified here but acknowledged.</w:t>
      </w:r>
    </w:p>
    <w:p>
      <w:r>
        <w:pict>
          <v:rect style="width:0;height:1.5pt" o:hralign="center" o:hrstd="t" o:hr="t"/>
        </w:pict>
      </w:r>
    </w:p>
    <w:bookmarkEnd w:id="41"/>
    <w:bookmarkEnd w:id="42"/>
    <w:bookmarkEnd w:id="43"/>
    <w:bookmarkStart w:id="46"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Based on the calculations, the primary carbon hotspots for jkygvfqsol are:</w:t>
      </w:r>
    </w:p>
    <w:p>
      <w:pPr>
        <w:numPr>
          <w:ilvl w:val="0"/>
          <w:numId w:val="1014"/>
        </w:numPr>
        <w:pStyle w:val="Compact"/>
      </w:pPr>
      <w:r>
        <w:rPr>
          <w:bCs/>
          <w:b/>
        </w:rPr>
        <w:t xml:space="preserve">Use Phase Energy Consumption (24.5 kg CO2e):</w:t>
      </w:r>
      <w:r>
        <w:t xml:space="preserve"> </w:t>
      </w:r>
      <w:r>
        <w:t xml:space="preserve">This is the most significant hotspot, primarily due to the assumed grid electricity mix and the product\'s lifespan and energy demand during use.</w:t>
      </w:r>
    </w:p>
    <w:p>
      <w:pPr>
        <w:numPr>
          <w:ilvl w:val="0"/>
          <w:numId w:val="1014"/>
        </w:numPr>
        <w:pStyle w:val="Compact"/>
      </w:pPr>
      <w:r>
        <w:rPr>
          <w:bCs/>
          <w:b/>
        </w:rPr>
        <w:t xml:space="preserve">Last-Mile Delivery Transport (10.0 kg CO2e):</w:t>
      </w:r>
      <w:r>
        <w:t xml:space="preserve"> </w:t>
      </w:r>
      <w:r>
        <w:t xml:space="preserve">Downstream logistics contribute substantially, highlighting the impact of distribution to the end-user.</w:t>
      </w:r>
    </w:p>
    <w:p>
      <w:pPr>
        <w:numPr>
          <w:ilvl w:val="0"/>
          <w:numId w:val="1014"/>
        </w:numPr>
        <w:pStyle w:val="Compact"/>
      </w:pPr>
      <w:r>
        <w:rPr>
          <w:bCs/>
          <w:b/>
        </w:rPr>
        <w:t xml:space="preserve">Purchased Electricity for Manufacturing (4.375 kg CO2e):</w:t>
      </w:r>
      <w:r>
        <w:t xml:space="preserve"> </w:t>
      </w:r>
      <w:r>
        <w:t xml:space="preserve">Despite 75% renewable energy usage, the remaining grid electricity portion for manufacturing still represents a notable emission source.</w:t>
      </w:r>
    </w:p>
    <w:p>
      <w:pPr>
        <w:numPr>
          <w:ilvl w:val="0"/>
          <w:numId w:val="1014"/>
        </w:numPr>
        <w:pStyle w:val="Compact"/>
      </w:pPr>
      <w:r>
        <w:rPr>
          <w:bCs/>
          <w:b/>
        </w:rPr>
        <w:t xml:space="preserve">Material Acquisition (4.425 kg CO2e):</w:t>
      </w:r>
      <w:r>
        <w:t xml:space="preserve"> </w:t>
      </w:r>
      <w:r>
        <w:t xml:space="preserve">Aluminum and the Circuit Board are significant contributors within the BOM, indicating the importance of material selection and supply chain decarbonization.</w:t>
      </w:r>
    </w:p>
    <w:bookmarkEnd w:id="44"/>
    <w:bookmarkStart w:id="45" w:name="reliability"/>
    <w:p>
      <w:pPr>
        <w:pStyle w:val="Heading3"/>
      </w:pPr>
      <w:r>
        <w:t xml:space="preserve">Reliability</w:t>
      </w:r>
    </w:p>
    <w:p>
      <w:pPr>
        <w:pStyle w:val="FirstParagraph"/>
      </w:pPr>
      <w:r>
        <w:t xml:space="preserve">The reliability of this report is high, supported by the use of detailed primary data for the Bill of Materials and specific parameters for transport, energy, and end-of-life. Where primary data was unavailable (e.g., specific transport routes, exact EoL processing details), reputable secondary emission factors and reasonable assumptions based on industry averages and geographical context (China production, Europe-focused supply chain) were applied. The clear definition of scope, adherence to GHG Protocol standards, and explicit mention of assumptions enhance transparency and interpretability.</w:t>
      </w:r>
    </w:p>
    <w:p>
      <w:pPr>
        <w:pStyle w:val="BodyText"/>
      </w:pPr>
      <w:r>
        <w:t xml:space="preserve">Further refinements could include primary data for all transport legs, specific grid emission factors for the exact manufacturing location and use-phase regions, and detailed EoL scenario modeling with specific recycling efficiencies and avoided burdens.</w:t>
      </w:r>
    </w:p>
    <w:p>
      <w:r>
        <w:pict>
          <v:rect style="width:0;height:1.5pt" o:hralign="center" o:hrstd="t" o:hr="t"/>
        </w:pict>
      </w:r>
    </w:p>
    <w:p>
      <w:pPr>
        <w:pStyle w:val="FirstParagraph"/>
      </w:pPr>
      <w:r>
        <w:t xml:space="preserve">Confidential - Internal Use Only | Generated: May 22, 2026</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jkygvfqsol</dc:title>
  <dc:creator/>
  <dc:description>Detailed Product Carbon Footprint (PCF) analysis report for product jkygvfqsol by oltxgzrvsq, adhering to GHG Protocol standards and including 2026 LSR updates.</dc:description>
  <dc:language>en</dc:language>
  <cp:keywords/>
  <dcterms:created xsi:type="dcterms:W3CDTF">2026-07-15T20:12:36Z</dcterms:created>
  <dcterms:modified xsi:type="dcterms:W3CDTF">2026-07-15T20:12:36Z</dcterms:modified>
</cp:coreProperties>
</file>

<file path=docProps/custom.xml><?xml version="1.0" encoding="utf-8"?>
<Properties xmlns="http://schemas.openxmlformats.org/officeDocument/2006/custom-properties" xmlns:vt="http://schemas.openxmlformats.org/officeDocument/2006/docPropsVTypes"/>
</file>