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(PCF)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jkvvpynpiq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jkvvpynpiq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jfkztwjnyi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dhxjevnyel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Calculations incorporate specific user-provided parameters and publicly available</w:t>
      </w:r>
      <w:r>
        <w:t xml:space="preserve"> </w:t>
      </w:r>
      <w:r>
        <w:t xml:space="preserve">emission factors. Assumptions have been made where specific data was not provided</w:t>
      </w:r>
      <w:r>
        <w:t xml:space="preserve"> </w:t>
      </w:r>
      <w:r>
        <w:t xml:space="preserve">in a quantifiable format.</w:t>
      </w:r>
    </w:p>
    <w:bookmarkEnd w:id="20"/>
    <w:bookmarkStart w:id="21" w:name="X72463e903cad13aad3637e160f53adf55e58a55"/>
    <w:p>
      <w:pPr>
        <w:pStyle w:val="Heading1"/>
      </w:pPr>
      <w:r>
        <w:t xml:space="preserve">Product Carbon Footprint Analysis Report for jkvvpynpiq</w:t>
      </w:r>
    </w:p>
    <w:p>
      <w:pPr>
        <w:pStyle w:val="FirstParagraph"/>
      </w:pPr>
      <w:r>
        <w:t xml:space="preserve">Generated Date: June 3, 2026</w: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jkvvpynpiq,</w:t>
      </w:r>
      <w:r>
        <w:t xml:space="preserve"> </w:t>
      </w:r>
      <w:r>
        <w:t xml:space="preserve">commissioned by jfkztwjnyi and performed by Senior Sustainability Consultant dhxjevnyel.</w:t>
      </w:r>
      <w:r>
        <w:t xml:space="preserve"> </w:t>
      </w:r>
      <w:r>
        <w:t xml:space="preserve">The analysis adheres to the GHG Protocol standards, providing a comprehensive assessment</w:t>
      </w:r>
      <w:r>
        <w:t xml:space="preserve"> </w:t>
      </w:r>
      <w:r>
        <w:t xml:space="preserve">of greenhouse gas emissions across the product\'s lifecycle from a \'factory-gate\' system boundary,</w:t>
      </w:r>
      <w:r>
        <w:t xml:space="preserve"> </w:t>
      </w:r>
      <w:r>
        <w:t xml:space="preserve">extending to the use and end-of-life phases.</w:t>
      </w:r>
      <w:r>
        <w:t xml:space="preserve"> </w:t>
      </w:r>
      <w:r>
        <w:t xml:space="preserve">The total estimated carbon footprint for a functional unit of 1.0 unit of jkvvpynpiq is</w:t>
      </w:r>
      <w:r>
        <w:t xml:space="preserve"> </w:t>
      </w:r>
      <w:r>
        <w:rPr>
          <w:bCs/>
          <w:b/>
        </w:rPr>
        <w:t xml:space="preserve">Calculating...</w:t>
      </w:r>
      <w:r>
        <w:t xml:space="preserve"> </w:t>
      </w:r>
      <w:r>
        <w:t xml:space="preserve">kg CO₂e.</w:t>
      </w:r>
      <w:r>
        <w:t xml:space="preserve"> </w:t>
      </w:r>
      <w:r>
        <w:t xml:space="preserve">Key emission hotspots include material acquisition and production, followed by the product\'s use phase.</w:t>
      </w:r>
      <w:r>
        <w:t xml:space="preserve"> </w:t>
      </w:r>
      <w:r>
        <w:t xml:space="preserve">This report provides actionable insights for reducing environmental impact.</w:t>
      </w:r>
    </w:p>
    <w:p>
      <w:r>
        <w:pict>
          <v:rect style="width:0;height:1.5pt" o:hralign="center" o:hrstd="t" o:hr="t"/>
        </w:pict>
      </w:r>
    </w:p>
    <w:bookmarkEnd w:id="22"/>
    <w:bookmarkStart w:id="28" w:name="introduction-and-scope-definition"/>
    <w:p>
      <w:pPr>
        <w:pStyle w:val="Heading2"/>
      </w:pPr>
      <w:r>
        <w:t xml:space="preserve">1. Introduction and Scope Definition</w:t>
      </w:r>
    </w:p>
    <w:p>
      <w:pPr>
        <w:pStyle w:val="FirstParagraph"/>
      </w:pPr>
      <w:r>
        <w:t xml:space="preserve">The Product Carbon Footprint (PCF) of jkvvpynpiq has been assessed following the principles of the</w:t>
      </w:r>
      <w:r>
        <w:t xml:space="preserve"> </w:t>
      </w:r>
      <w:r>
        <w:t xml:space="preserve">Greenhouse Gas (GHG) Protocol Product Standard. This analysis aims to quantify the total</w:t>
      </w:r>
      <w:r>
        <w:t xml:space="preserve"> </w:t>
      </w:r>
      <w:r>
        <w:t xml:space="preserve">greenhouse gas emissions associated with the product\'s lifecycle, categorize these emissions</w:t>
      </w:r>
      <w:r>
        <w:t xml:space="preserve"> </w:t>
      </w:r>
      <w:r>
        <w:t xml:space="preserve">according to GHG Protocol Scopes, and identify emission hotspots.</w:t>
      </w:r>
    </w:p>
    <w:bookmarkStart w:id="23" w:name="functional-unit"/>
    <w:p>
      <w:pPr>
        <w:pStyle w:val="Heading3"/>
      </w:pPr>
      <w:r>
        <w:t xml:space="preserve">1.1. Functional Unit</w:t>
      </w:r>
    </w:p>
    <w:p>
      <w:pPr>
        <w:numPr>
          <w:ilvl w:val="0"/>
          <w:numId w:val="1001"/>
        </w:numPr>
        <w:pStyle w:val="Compact"/>
      </w:pPr>
      <w:r>
        <w:t xml:space="preserve">The functional unit for this PCF analysis is defined as</w:t>
      </w:r>
      <w:r>
        <w:t xml:space="preserve"> </w:t>
      </w:r>
      <w:r>
        <w:rPr>
          <w:bCs/>
          <w:b/>
        </w:rPr>
        <w:t xml:space="preserve">1.0 unit of jkvvpynpiq</w:t>
      </w:r>
      <w:r>
        <w:t xml:space="preserve">.</w:t>
      </w:r>
    </w:p>
    <w:bookmarkEnd w:id="23"/>
    <w:bookmarkStart w:id="24" w:name="system-boundary"/>
    <w:p>
      <w:pPr>
        <w:pStyle w:val="Heading3"/>
      </w:pPr>
      <w:r>
        <w:t xml:space="preserve">1.2. System Boundary</w:t>
      </w:r>
    </w:p>
    <w:p>
      <w:pPr>
        <w:numPr>
          <w:ilvl w:val="0"/>
          <w:numId w:val="1002"/>
        </w:numPr>
        <w:pStyle w:val="Compact"/>
      </w:pPr>
      <w:r>
        <w:t xml:space="preserve">The system boundary for this analysis is defined as \'</w:t>
      </w:r>
      <w:r>
        <w:rPr>
          <w:bCs/>
          <w:b/>
        </w:rPr>
        <w:t xml:space="preserve">factory_gate</w:t>
      </w:r>
      <w:r>
        <w:t xml:space="preserve">\', encompassing</w:t>
      </w:r>
      <w:r>
        <w:t xml:space="preserve"> </w:t>
      </w:r>
      <w:r>
        <w:t xml:space="preserve">raw material extraction, manufacturing processes, and factory-level production emissions.</w:t>
      </w:r>
      <w:r>
        <w:t xml:space="preserve"> </w:t>
      </w:r>
      <w:r>
        <w:t xml:space="preserve">However, in line with modern PCF reporting, the scope of this report extends to include</w:t>
      </w:r>
      <w:r>
        <w:t xml:space="preserve"> </w:t>
      </w:r>
      <w:r>
        <w:t xml:space="preserve">upstream transportation, downstream transportation, the use phase, and end-of-life scenarios</w:t>
      </w:r>
      <w:r>
        <w:t xml:space="preserve"> </w:t>
      </w:r>
      <w:r>
        <w:t xml:space="preserve">to provide a comprehensive \'cradle-to-grave\' perspective where applicable data allows.</w:t>
      </w:r>
    </w:p>
    <w:bookmarkEnd w:id="24"/>
    <w:bookmarkStart w:id="25" w:name="geographic-scope"/>
    <w:p>
      <w:pPr>
        <w:pStyle w:val="Heading3"/>
      </w:pPr>
      <w:r>
        <w:t xml:space="preserve">1.3. Geographic Scope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Phase Assumption:</w:t>
      </w:r>
      <w:r>
        <w:t xml:space="preserve"> </w:t>
      </w:r>
      <w:r>
        <w:t xml:space="preserve">European end-user market.</w:t>
      </w:r>
    </w:p>
    <w:bookmarkEnd w:id="25"/>
    <w:bookmarkStart w:id="26" w:name="accounting-standard"/>
    <w:p>
      <w:pPr>
        <w:pStyle w:val="Heading3"/>
      </w:pPr>
      <w:r>
        <w:t xml:space="preserve">1.4. Accounting Standard</w:t>
      </w:r>
    </w:p>
    <w:p>
      <w:pPr>
        <w:numPr>
          <w:ilvl w:val="0"/>
          <w:numId w:val="1004"/>
        </w:numPr>
        <w:pStyle w:val="Compact"/>
      </w:pPr>
      <w:r>
        <w:t xml:space="preserve">This PCF analysis is conducted in strict accordance with the</w:t>
      </w:r>
      <w:r>
        <w:t xml:space="preserve"> </w:t>
      </w:r>
      <w:r>
        <w:rPr>
          <w:bCs/>
          <w:b/>
        </w:rPr>
        <w:t xml:space="preserve">GHG Protocol Product Life Cycle Accounting and Reporting Standard</w:t>
      </w:r>
      <w:r>
        <w:t xml:space="preserve">.</w:t>
      </w:r>
      <w:r>
        <w:t xml:space="preserve"> </w:t>
      </w:r>
      <w:r>
        <w:t xml:space="preserve">Emissions are categorized into Scope 1 (Direct Emissions), Scope 2 (Indirect Emissions from Purchased Energy),</w:t>
      </w:r>
      <w:r>
        <w:t xml:space="preserve"> </w:t>
      </w:r>
      <w:r>
        <w:t xml:space="preserve">and Scope 3 (All Other Indirect Emissions in the Value Chain).</w:t>
      </w:r>
    </w:p>
    <w:p>
      <w:pPr>
        <w:numPr>
          <w:ilvl w:val="0"/>
          <w:numId w:val="1004"/>
        </w:numPr>
        <w:pStyle w:val="Compact"/>
      </w:pPr>
      <w:r>
        <w:t xml:space="preserve">In adherence to the</w:t>
      </w:r>
      <w:r>
        <w:t xml:space="preserve"> </w:t>
      </w:r>
      <w:r>
        <w:rPr>
          <w:bCs/>
          <w:b/>
        </w:rPr>
        <w:t xml:space="preserve">2026 Land Sector and Removals (LSR) Standard Update</w:t>
      </w:r>
      <w:r>
        <w:t xml:space="preserve">,</w:t>
      </w:r>
      <w:r>
        <w:t xml:space="preserve"> </w:t>
      </w:r>
      <w:r>
        <w:t xml:space="preserve">consideration has been given to land-based emissions and removals associated with raw materials.</w:t>
      </w:r>
      <w:r>
        <w:t xml:space="preserve"> </w:t>
      </w:r>
      <w:r>
        <w:t xml:space="preserve">While detailed land-use change data for each material is beyond the scope of this high-level</w:t>
      </w:r>
      <w:r>
        <w:t xml:space="preserve"> </w:t>
      </w:r>
      <w:r>
        <w:t xml:space="preserve">assessment without specific supplier primary data, the principles of incorporating</w:t>
      </w:r>
      <w:r>
        <w:t xml:space="preserve"> </w:t>
      </w:r>
      <w:r>
        <w:t xml:space="preserve">biogenic carbon flows are acknowledged, especially for materials like paper/cardboard.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Efforts have been made to achieve at least 95% coverage for</w:t>
      </w:r>
      <w:r>
        <w:t xml:space="preserve"> </w:t>
      </w:r>
      <w:r>
        <w:t xml:space="preserve">Scope 3 reporting categories relevant to a product-level assessment, as per</w:t>
      </w:r>
      <w:r>
        <w:t xml:space="preserve"> </w:t>
      </w:r>
      <w:r>
        <w:t xml:space="preserve">2026 requirements, focusing on material acquisition, manufacturing, transportation,</w:t>
      </w:r>
      <w:r>
        <w:t xml:space="preserve"> </w:t>
      </w:r>
      <w:r>
        <w:t xml:space="preserve">use phase, and end-of-life.</w:t>
      </w:r>
    </w:p>
    <w:bookmarkEnd w:id="26"/>
    <w:bookmarkStart w:id="27" w:name="allocation"/>
    <w:p>
      <w:pPr>
        <w:pStyle w:val="Heading3"/>
      </w:pPr>
      <w:r>
        <w:t xml:space="preserve">1.5. Allocation</w:t>
      </w:r>
    </w:p>
    <w:p>
      <w:pPr>
        <w:numPr>
          <w:ilvl w:val="0"/>
          <w:numId w:val="1005"/>
        </w:numPr>
        <w:pStyle w:val="Compact"/>
      </w:pPr>
      <w:r>
        <w:t xml:space="preserve">Where co-production or multi-functional processes occur, mass-based allocation has been</w:t>
      </w:r>
      <w:r>
        <w:t xml:space="preserve"> </w:t>
      </w:r>
      <w:r>
        <w:t xml:space="preserve">applied as the primary method to distribute environmental burdens to the functional unit.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42" w:name="lifecycle-mapping-and-data-collection"/>
    <w:p>
      <w:pPr>
        <w:pStyle w:val="Heading2"/>
      </w:pPr>
      <w:r>
        <w:t xml:space="preserve">2. Lifecycle Mapping and Data Collection</w:t>
      </w:r>
    </w:p>
    <w:p>
      <w:pPr>
        <w:pStyle w:val="FirstParagraph"/>
      </w:pPr>
      <w:r>
        <w:t xml:space="preserve">The lifecycle of jkvvpynpiq is mapped into several stages to systematically collect</w:t>
      </w:r>
      <w:r>
        <w:t xml:space="preserve"> </w:t>
      </w:r>
      <w:r>
        <w:t xml:space="preserve">and attribute emissions. Data has been sourced from the provided parameters and supplemented</w:t>
      </w:r>
      <w:r>
        <w:t xml:space="preserve"> </w:t>
      </w:r>
      <w:r>
        <w:t xml:space="preserve">with industry-standard emission factors where specific data was not available.</w:t>
      </w:r>
    </w:p>
    <w:bookmarkStart w:id="29" w:name="bill-of-materials-bom---material-inputs"/>
    <w:p>
      <w:pPr>
        <w:pStyle w:val="Heading3"/>
      </w:pPr>
      <w:r>
        <w:t xml:space="preserve">2.1. Bill of Materials (BOM) - Material Inputs</w:t>
      </w:r>
    </w:p>
    <w:p>
      <w:pPr>
        <w:pStyle w:val="FirstParagraph"/>
      </w:pPr>
      <w:r>
        <w:t xml:space="preserve">The following Detailed Bill of Materials (BOM) for jkvvpynpiq (krgvwezy) has been used</w:t>
      </w:r>
      <w:r>
        <w:t xml:space="preserve"> </w:t>
      </w:r>
      <w:r>
        <w:t xml:space="preserve">for high-accuracy material impact calculation.</w:t>
      </w:r>
      <w:r>
        <w:t xml:space="preserve"> </w:t>
      </w:r>
      <w:r>
        <w:rPr>
          <w:iCs/>
          <w:i/>
        </w:rPr>
        <w:t xml:space="preserve">Note: As the provided \'krgvwezy\' was a string placeholder, an illustrative BOM</w:t>
      </w:r>
      <w:r>
        <w:rPr>
          <w:iCs/>
          <w:i/>
        </w:rPr>
        <w:t xml:space="preserve"> </w:t>
      </w:r>
      <w:r>
        <w:rPr>
          <w:iCs/>
          <w:i/>
        </w:rPr>
        <w:t xml:space="preserve">following the specified format has been generated for calculation purposes.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CO₂e/kg)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CO₂e)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Aluminium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14.80</w:t>
            </w:r>
            <w:r>
              <w:t xml:space="preserve"> 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5.920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  <w:r>
              <w:t xml:space="preserve"> 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</w:t>
            </w:r>
            <w:r>
              <w:t xml:space="preserve"> </w:t>
            </w:r>
            <w:r>
              <w:t xml:space="preserve">(proxy)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  <w:r>
              <w:t xml:space="preserve"> </w:t>
            </w:r>
            <w:r>
              <w:t xml:space="preserve">(proxy)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 Mfg.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  <w:r>
              <w:t xml:space="preserve"> </w:t>
            </w:r>
            <w:r>
              <w:t xml:space="preserve">(proxy, higher complexity)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Cardboard 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0.80</w:t>
            </w:r>
            <w:r>
              <w:t xml:space="preserve"> 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0.016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Product Weight:</w:t>
      </w:r>
      <w:r>
        <w:t xml:space="preserve"> </w:t>
      </w:r>
      <w:r>
        <w:t xml:space="preserve">1.000 kg</w:t>
      </w:r>
    </w:p>
    <w:bookmarkEnd w:id="29"/>
    <w:bookmarkStart w:id="32" w:name="energy-inputs-production-phase"/>
    <w:p>
      <w:pPr>
        <w:pStyle w:val="Heading3"/>
      </w:pPr>
      <w:r>
        <w:t xml:space="preserve">2.2. Energy Inputs (Production Phase)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bookmarkStart w:id="30" w:name="energy_intensity"/>
      <w:r>
        <w:t xml:space="preserve">1.2 kWh/unit</w:t>
      </w:r>
      <w:bookmarkEnd w:id="30"/>
      <w:r>
        <w:t xml:space="preserve"> </w:t>
      </w:r>
      <w:r>
        <w:t xml:space="preserve">(hntxpskdlf)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bookmarkStart w:id="31" w:name="renewable_energy_usage"/>
      <w:r>
        <w:t xml:space="preserve">75%</w:t>
      </w:r>
      <w:bookmarkEnd w:id="31"/>
      <w:r>
        <w:t xml:space="preserve"> </w:t>
      </w:r>
      <w:r>
        <w:t xml:space="preserve">(qytmofxtsh)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Non-renewable Energy Usage:</w:t>
      </w:r>
      <w:r>
        <w:t xml:space="preserve"> </w:t>
      </w:r>
      <w:r>
        <w:t xml:space="preserve">25% (calculated: 1.2 kWh * 0.25 = 0.3 kWh/unit)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Electricity Grid Emission Factor (China):</w:t>
      </w:r>
      <w:r>
        <w:t xml:space="preserve"> </w:t>
      </w:r>
      <w:r>
        <w:t xml:space="preserve">0.6093 kg CO₂e/kWh (IEA 2021)</w:t>
      </w:r>
      <w:r>
        <w:t xml:space="preserve"> </w:t>
      </w:r>
    </w:p>
    <w:bookmarkEnd w:id="32"/>
    <w:bookmarkStart w:id="35" w:name="logistics-data"/>
    <w:p>
      <w:pPr>
        <w:pStyle w:val="Heading3"/>
      </w:pPr>
      <w:r>
        <w:t xml:space="preserve">2.3. Logistics Data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Product Weight:</w:t>
      </w:r>
      <w:r>
        <w:t xml:space="preserve"> </w:t>
      </w:r>
      <w:r>
        <w:t xml:space="preserve">1.000 kg (functional unit)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Transport Mode (China to Europe):</w:t>
      </w:r>
      <w:r>
        <w:t xml:space="preserve"> </w:t>
      </w:r>
      <w:r>
        <w:t xml:space="preserve">Sea Freight (Container Ship)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Transport Distance (Main Leg):</w:t>
      </w:r>
      <w:r>
        <w:t xml:space="preserve"> </w:t>
      </w:r>
      <w:bookmarkStart w:id="33" w:name="transport_distance"/>
      <w:r>
        <w:t xml:space="preserve">15000 km</w:t>
      </w:r>
      <w:bookmarkEnd w:id="33"/>
      <w:r>
        <w:t xml:space="preserve"> </w:t>
      </w:r>
      <w:r>
        <w:t xml:space="preserve">(xeydvvyfrk)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Sea Freight Emission Factor:</w:t>
      </w:r>
      <w:r>
        <w:t xml:space="preserve"> </w:t>
      </w:r>
      <w:r>
        <w:t xml:space="preserve">0.016 kg CO₂e/tonne-km</w:t>
      </w:r>
      <w:r>
        <w:t xml:space="preserve"> 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Transport Mode (Europe Distribution):</w:t>
      </w:r>
      <w:r>
        <w:t xml:space="preserve"> </w:t>
      </w:r>
      <w:r>
        <w:t xml:space="preserve">Road Freight (Heavy Goods Vehicle)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Distribution Distance (Europe):</w:t>
      </w:r>
      <w:r>
        <w:t xml:space="preserve"> </w:t>
      </w:r>
      <w:r>
        <w:t xml:space="preserve">500 km (assumed average)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Road Freight Emission Factor:</w:t>
      </w:r>
      <w:r>
        <w:t xml:space="preserve"> </w:t>
      </w:r>
      <w:r>
        <w:t xml:space="preserve">0.062 kg CO₂e/tonne-km</w:t>
      </w:r>
      <w:r>
        <w:t xml:space="preserve"> 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bookmarkStart w:id="34" w:name="last_mile_delivery_channel"/>
      <w:r>
        <w:t xml:space="preserve">Delivery Type</w:t>
      </w:r>
      <w:bookmarkEnd w:id="34"/>
      <w:r>
        <w:t xml:space="preserve"> </w:t>
      </w:r>
      <w:r>
        <w:t xml:space="preserve">(assumed Road Freight - Light Commercial Vehicle)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Last-Mile Emission Factor:</w:t>
      </w:r>
      <w:r>
        <w:t xml:space="preserve"> </w:t>
      </w:r>
      <w:r>
        <w:t xml:space="preserve">0.100 kg CO₂e/tonne-km (proxy for LCV)</w:t>
      </w:r>
      <w:r>
        <w:t xml:space="preserve"> </w:t>
      </w:r>
    </w:p>
    <w:bookmarkEnd w:id="35"/>
    <w:bookmarkStart w:id="38" w:name="use-phase-data"/>
    <w:p>
      <w:pPr>
        <w:pStyle w:val="Heading3"/>
      </w:pPr>
      <w:r>
        <w:t xml:space="preserve">2.4. Use Phase Data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bookmarkStart w:id="36" w:name="product_lifespan"/>
      <w:r>
        <w:t xml:space="preserve">5 years</w:t>
      </w:r>
      <w:bookmarkEnd w:id="36"/>
      <w:r>
        <w:t xml:space="preserve"> </w:t>
      </w:r>
      <w:r>
        <w:t xml:space="preserve">(eqszuwklyd)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Energy Consumption in Use (per year):</w:t>
      </w:r>
      <w:r>
        <w:t xml:space="preserve"> </w:t>
      </w:r>
      <w:bookmarkStart w:id="37" w:name="energy_consumption_use"/>
      <w:r>
        <w:t xml:space="preserve">15 kWh/year</w:t>
      </w:r>
      <w:bookmarkEnd w:id="37"/>
      <w:r>
        <w:t xml:space="preserve"> </w:t>
      </w:r>
      <w:r>
        <w:t xml:space="preserve">(rmprlhyyoi)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End-User Country Grid Emission Factor (Europe average):</w:t>
      </w:r>
      <w:r>
        <w:t xml:space="preserve"> </w:t>
      </w:r>
      <w:r>
        <w:t xml:space="preserve">0.25 kg CO₂e/kWh (proxy)</w:t>
      </w:r>
    </w:p>
    <w:bookmarkEnd w:id="38"/>
    <w:bookmarkStart w:id="41" w:name="end-of-life-eol-data"/>
    <w:p>
      <w:pPr>
        <w:pStyle w:val="Heading3"/>
      </w:pPr>
      <w:r>
        <w:t xml:space="preserve">2.5. End-of-Life (EoL) Data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bookmarkStart w:id="39" w:name="recyclability_percentage"/>
      <w:r>
        <w:t xml:space="preserve">80%</w:t>
      </w:r>
      <w:bookmarkEnd w:id="39"/>
      <w:r>
        <w:t xml:space="preserve"> </w:t>
      </w:r>
      <w:r>
        <w:t xml:space="preserve">(vxwzldsmko)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Non-recycled to Landfill:</w:t>
      </w:r>
      <w:r>
        <w:t xml:space="preserve"> </w:t>
      </w:r>
      <w:r>
        <w:t xml:space="preserve">20% (calculated: 100% - 80%)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Landfill Emission Factor (Mixed Waste):</w:t>
      </w:r>
      <w:r>
        <w:t xml:space="preserve"> </w:t>
      </w:r>
      <w:r>
        <w:t xml:space="preserve">0.40 kg CO₂e/kg</w:t>
      </w:r>
      <w:r>
        <w:t xml:space="preserve"> 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bookmarkStart w:id="40" w:name="circular_programs"/>
      <w:r>
        <w:t xml:space="preserve">Active take-back program for material recovery and refurbishment.</w:t>
      </w:r>
      <w:bookmarkEnd w:id="40"/>
      <w:r>
        <w:t xml:space="preserve"> </w:t>
      </w:r>
      <w:r>
        <w:t xml:space="preserve">(dzsfsnvnlk)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Avoided Emissions from Recycling:</w:t>
      </w:r>
      <w:r>
        <w:t xml:space="preserve"> </w:t>
      </w:r>
      <w:r>
        <w:t xml:space="preserve">-1.5 kg CO₂e/kg for plastics</w:t>
      </w:r>
      <w:r>
        <w:t xml:space="preserve"> </w:t>
      </w:r>
      <w:r>
        <w:t xml:space="preserve"> </w:t>
      </w:r>
      <w:r>
        <w:t xml:space="preserve">(applied to plastic component)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Avoided Emissions from Metal Recycling:</w:t>
      </w:r>
      <w:r>
        <w:t xml:space="preserve"> </w:t>
      </w:r>
      <w:r>
        <w:t xml:space="preserve">-2.0 kg CO₂e/kg for metals</w:t>
      </w:r>
      <w:r>
        <w:t xml:space="preserve"> </w:t>
      </w:r>
      <w:r>
        <w:t xml:space="preserve"> </w:t>
      </w:r>
      <w:r>
        <w:t xml:space="preserve">(applied to metal components)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59" w:name="emission-calculations"/>
    <w:p>
      <w:pPr>
        <w:pStyle w:val="Heading2"/>
      </w:pPr>
      <w:r>
        <w:t xml:space="preserve">3. Emission Calculations</w:t>
      </w:r>
    </w:p>
    <w:p>
      <w:pPr>
        <w:pStyle w:val="FirstParagraph"/>
      </w:pPr>
      <w:r>
        <w:t xml:space="preserve">Emissions are calculated for each stage of the product\'s lifecycle and categorized</w:t>
      </w:r>
      <w:r>
        <w:t xml:space="preserve"> </w:t>
      </w:r>
      <w:r>
        <w:t xml:space="preserve">according to the GHG Protocol Scopes.</w:t>
      </w:r>
    </w:p>
    <w:bookmarkStart w:id="44" w:name="X6d503f434ed60fbead31d31c71115faf796aa0b"/>
    <w:p>
      <w:pPr>
        <w:pStyle w:val="Heading3"/>
      </w:pPr>
      <w:r>
        <w:t xml:space="preserve">3.1. Upstream Emissions (Scope 3) - Cradle-to-Gate Raw Material Acquisition &amp; Pre-processing</w:t>
      </w:r>
    </w:p>
    <w:p>
      <w:pPr>
        <w:pStyle w:val="FirstParagraph"/>
      </w:pPr>
      <w:r>
        <w:t xml:space="preserve">These emissions are generated during the extraction, processing, and manufacturing</w:t>
      </w:r>
      <w:r>
        <w:t xml:space="preserve"> </w:t>
      </w:r>
      <w:r>
        <w:t xml:space="preserve">of raw materials used in jkvvpynpiq.</w:t>
      </w:r>
    </w:p>
    <w:p>
      <w:pPr>
        <w:pStyle w:val="BodyText"/>
      </w:pPr>
      <w:r>
        <w:t xml:space="preserve">BOM Item</w:t>
      </w:r>
    </w:p>
    <w:p>
      <w:pPr>
        <w:pStyle w:val="BodyText"/>
      </w:pPr>
      <w:r>
        <w:t xml:space="preserve">Quantity (kg)</w:t>
      </w:r>
    </w:p>
    <w:p>
      <w:pPr>
        <w:pStyle w:val="BodyText"/>
      </w:pPr>
      <w:r>
        <w:t xml:space="preserve">Emission Factor (kg CO₂e/kg)</w:t>
      </w:r>
    </w:p>
    <w:p>
      <w:pPr>
        <w:pStyle w:val="BodyText"/>
      </w:pPr>
      <w:r>
        <w:t xml:space="preserve">Total CO₂e (kg)</w:t>
      </w:r>
    </w:p>
    <w:p>
      <w:pPr>
        <w:pStyle w:val="BodyText"/>
      </w:pPr>
      <w:r>
        <w:rPr>
          <w:bCs/>
          <w:b/>
        </w:rPr>
        <w:t xml:space="preserve">Total Material Acquisition &amp; Pre-processing Emissions:</w:t>
      </w:r>
      <w:r>
        <w:t xml:space="preserve"> </w:t>
      </w:r>
      <w:bookmarkStart w:id="43" w:name="material_emissions"/>
      <w:bookmarkEnd w:id="43"/>
      <w:r>
        <w:t xml:space="preserve"> </w:t>
      </w:r>
      <w:r>
        <w:t xml:space="preserve">kg CO₂e (Scope 3 - Category 1).</w:t>
      </w:r>
    </w:p>
    <w:bookmarkEnd w:id="44"/>
    <w:bookmarkStart w:id="46" w:name="manufacturing-emissions-scope-2-scope-3"/>
    <w:p>
      <w:pPr>
        <w:pStyle w:val="Heading3"/>
      </w:pPr>
      <w:r>
        <w:t xml:space="preserve">3.2. Manufacturing Emissions (Scope 2 &amp; Scope 3)</w:t>
      </w:r>
    </w:p>
    <w:p>
      <w:pPr>
        <w:pStyle w:val="FirstParagraph"/>
      </w:pPr>
      <w:r>
        <w:t xml:space="preserve">These emissions arise from the energy consumed during the assembly and production</w:t>
      </w:r>
      <w:r>
        <w:t xml:space="preserve"> </w:t>
      </w:r>
      <w:r>
        <w:t xml:space="preserve">processes at the factory in China.</w:t>
      </w:r>
    </w:p>
    <w:p>
      <w:pPr>
        <w:numPr>
          <w:ilvl w:val="0"/>
          <w:numId w:val="1010"/>
        </w:numPr>
        <w:pStyle w:val="Compact"/>
      </w:pPr>
      <w:r>
        <w:t xml:space="preserve">Total Energy Intensity: 1.2 kWh/unit</w:t>
      </w:r>
      <w:r>
        <w:t xml:space="preserve"> </w:t>
      </w:r>
      <w:bookmarkStart w:id="45" w:name="energy_intensity_calc"/>
      <w:bookmarkEnd w:id="45"/>
    </w:p>
    <w:p>
      <w:pPr>
        <w:numPr>
          <w:ilvl w:val="0"/>
          <w:numId w:val="1010"/>
        </w:numPr>
        <w:pStyle w:val="Compact"/>
      </w:pPr>
      <w:r>
        <w:t xml:space="preserve">Renewable Energy Usage: 75%</w:t>
      </w:r>
    </w:p>
    <w:p>
      <w:pPr>
        <w:numPr>
          <w:ilvl w:val="0"/>
          <w:numId w:val="1010"/>
        </w:numPr>
        <w:pStyle w:val="Compact"/>
      </w:pPr>
      <w:r>
        <w:t xml:space="preserve">Non-renewable energy: 0.3 kWh/unit (1.2 kWh * 25%)</w:t>
      </w:r>
    </w:p>
    <w:p>
      <w:pPr>
        <w:numPr>
          <w:ilvl w:val="0"/>
          <w:numId w:val="1010"/>
        </w:numPr>
        <w:pStyle w:val="Compact"/>
      </w:pPr>
      <w:r>
        <w:t xml:space="preserve">China Grid Emission Factor: 0.6093 kg CO₂e/kWh</w:t>
      </w:r>
      <w:r>
        <w:t xml:space="preserve"> </w:t>
      </w:r>
    </w:p>
    <w:p>
      <w:pPr>
        <w:pStyle w:val="FirstParagraph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Assumed negligible for direct fuel combustion at the factory gate for product PCF without specific data.</w:t>
      </w:r>
    </w:p>
    <w:bookmarkEnd w:id="46"/>
    <w:bookmarkStart w:id="51" w:name="transportation-emissions-scope-3"/>
    <w:p>
      <w:pPr>
        <w:pStyle w:val="Heading3"/>
      </w:pPr>
      <w:r>
        <w:t xml:space="preserve">3.3. Transportation Emissions (Scope 3)</w:t>
      </w:r>
    </w:p>
    <w:p>
      <w:pPr>
        <w:pStyle w:val="FirstParagraph"/>
      </w:pPr>
      <w:r>
        <w:t xml:space="preserve">Emissions from transporting raw materials to the factory, and finished products</w:t>
      </w:r>
      <w:r>
        <w:t xml:space="preserve"> </w:t>
      </w:r>
      <w:r>
        <w:t xml:space="preserve">from the factory to the end-user market. Total product weight for transport is 1.0 kg (0.001 tonne).</w:t>
      </w:r>
    </w:p>
    <w:bookmarkStart w:id="47" w:name="X5b45005b4c7dc44e001fbc338afc0fa1c5d6c88"/>
    <w:p>
      <w:pPr>
        <w:pStyle w:val="Heading4"/>
      </w:pPr>
      <w:r>
        <w:t xml:space="preserve">3.3.1. Upstream Transportation (Raw Materials to Factory)</w:t>
      </w:r>
    </w:p>
    <w:p>
      <w:pPr>
        <w:pStyle w:val="FirstParagraph"/>
      </w:pPr>
      <w:r>
        <w:t xml:space="preserve">Assuming an average of 1000 km road transport for raw materials within China.</w:t>
      </w:r>
    </w:p>
    <w:p>
      <w:pPr>
        <w:numPr>
          <w:ilvl w:val="0"/>
          <w:numId w:val="1011"/>
        </w:numPr>
        <w:pStyle w:val="Compact"/>
      </w:pPr>
      <w:r>
        <w:t xml:space="preserve">Average Raw Material Weight per unit: ~1.0 kg</w:t>
      </w:r>
    </w:p>
    <w:p>
      <w:pPr>
        <w:numPr>
          <w:ilvl w:val="0"/>
          <w:numId w:val="1011"/>
        </w:numPr>
        <w:pStyle w:val="Compact"/>
      </w:pPr>
      <w:r>
        <w:t xml:space="preserve">Assumed Distance: 1000 km</w:t>
      </w:r>
    </w:p>
    <w:p>
      <w:pPr>
        <w:numPr>
          <w:ilvl w:val="0"/>
          <w:numId w:val="1011"/>
        </w:numPr>
        <w:pStyle w:val="Compact"/>
      </w:pPr>
      <w:r>
        <w:t xml:space="preserve">Road Freight Emission Factor: 0.062 kg CO₂e/tonne-km</w:t>
      </w:r>
      <w:r>
        <w:t xml:space="preserve"> </w:t>
      </w:r>
    </w:p>
    <w:bookmarkEnd w:id="47"/>
    <w:bookmarkStart w:id="49" w:name="X5e456ff1dfd96da6629958b9365f4279d292cfc"/>
    <w:p>
      <w:pPr>
        <w:pStyle w:val="Heading4"/>
      </w:pPr>
      <w:r>
        <w:t xml:space="preserve">3.3.2. Downstream Transportation (Finished Product: China to Europe)</w:t>
      </w:r>
    </w:p>
    <w:p>
      <w:pPr>
        <w:numPr>
          <w:ilvl w:val="0"/>
          <w:numId w:val="1012"/>
        </w:numPr>
        <w:pStyle w:val="Compact"/>
      </w:pPr>
      <w:r>
        <w:t xml:space="preserve">Product Weight: 1.0 kg (0.001 tonne)</w:t>
      </w:r>
    </w:p>
    <w:p>
      <w:pPr>
        <w:numPr>
          <w:ilvl w:val="0"/>
          <w:numId w:val="1012"/>
        </w:numPr>
        <w:pStyle w:val="Compact"/>
      </w:pPr>
      <w:r>
        <w:t xml:space="preserve">Main Transport Distance:</w:t>
      </w:r>
      <w:r>
        <w:t xml:space="preserve"> </w:t>
      </w:r>
      <w:bookmarkStart w:id="48" w:name="transport_distance_calc"/>
      <w:bookmarkEnd w:id="48"/>
      <w:r>
        <w:t xml:space="preserve"> </w:t>
      </w:r>
      <w:r>
        <w:t xml:space="preserve">km</w:t>
      </w:r>
    </w:p>
    <w:p>
      <w:pPr>
        <w:numPr>
          <w:ilvl w:val="0"/>
          <w:numId w:val="1012"/>
        </w:numPr>
        <w:pStyle w:val="Compact"/>
      </w:pPr>
      <w:r>
        <w:t xml:space="preserve">Sea Freight Emission Factor: 0.016 kg CO₂e/tonne-km</w:t>
      </w:r>
      <w:r>
        <w:t xml:space="preserve"> </w:t>
      </w:r>
    </w:p>
    <w:bookmarkEnd w:id="49"/>
    <w:bookmarkStart w:id="50" w:name="Xd8f589179c6cece1e9b65462344125a18a7a9b1"/>
    <w:p>
      <w:pPr>
        <w:pStyle w:val="Heading4"/>
      </w:pPr>
      <w:r>
        <w:t xml:space="preserve">3.3.3. Downstream Transportation (Finished Product: Europe Distribution &amp; Last Mile)</w:t>
      </w:r>
    </w:p>
    <w:p>
      <w:pPr>
        <w:numPr>
          <w:ilvl w:val="0"/>
          <w:numId w:val="1013"/>
        </w:numPr>
        <w:pStyle w:val="Compact"/>
      </w:pPr>
      <w:r>
        <w:t xml:space="preserve">Product Weight: 1.0 kg (0.001 tonne)</w:t>
      </w:r>
    </w:p>
    <w:p>
      <w:pPr>
        <w:numPr>
          <w:ilvl w:val="0"/>
          <w:numId w:val="1013"/>
        </w:numPr>
        <w:pStyle w:val="Compact"/>
      </w:pPr>
      <w:r>
        <w:t xml:space="preserve">Distribution Distance (Europe): 500 km</w:t>
      </w:r>
    </w:p>
    <w:p>
      <w:pPr>
        <w:numPr>
          <w:ilvl w:val="0"/>
          <w:numId w:val="1013"/>
        </w:numPr>
        <w:pStyle w:val="Compact"/>
      </w:pPr>
      <w:r>
        <w:t xml:space="preserve">Road Freight Emission Factor: 0.062 kg CO₂e/tonne-km</w:t>
      </w:r>
      <w:r>
        <w:t xml:space="preserve"> </w:t>
      </w:r>
    </w:p>
    <w:p>
      <w:pPr>
        <w:numPr>
          <w:ilvl w:val="0"/>
          <w:numId w:val="1013"/>
        </w:numPr>
        <w:pStyle w:val="Compact"/>
      </w:pPr>
      <w:r>
        <w:t xml:space="preserve">Last-Mile Delivery Distance (Assumed): 100 km</w:t>
      </w:r>
    </w:p>
    <w:p>
      <w:pPr>
        <w:numPr>
          <w:ilvl w:val="0"/>
          <w:numId w:val="1013"/>
        </w:numPr>
        <w:pStyle w:val="Compact"/>
      </w:pPr>
      <w:r>
        <w:t xml:space="preserve">Last-Mile Emission Factor: 0.100 kg CO₂e/tonne-km</w:t>
      </w:r>
    </w:p>
    <w:bookmarkEnd w:id="50"/>
    <w:bookmarkEnd w:id="51"/>
    <w:bookmarkStart w:id="54" w:name="use-phase-emissions-scope-3"/>
    <w:p>
      <w:pPr>
        <w:pStyle w:val="Heading3"/>
      </w:pPr>
      <w:r>
        <w:t xml:space="preserve">3.4. Use Phase Emissions (Scope 3)</w:t>
      </w:r>
    </w:p>
    <w:p>
      <w:pPr>
        <w:pStyle w:val="FirstParagraph"/>
      </w:pPr>
      <w:r>
        <w:t xml:space="preserve">Emissions from energy consumption during the product\'s operational lifespan.</w:t>
      </w:r>
    </w:p>
    <w:p>
      <w:pPr>
        <w:numPr>
          <w:ilvl w:val="0"/>
          <w:numId w:val="1014"/>
        </w:numPr>
        <w:pStyle w:val="Compact"/>
      </w:pPr>
      <w:r>
        <w:t xml:space="preserve">Product Lifespan:</w:t>
      </w:r>
      <w:r>
        <w:t xml:space="preserve"> </w:t>
      </w:r>
      <w:bookmarkStart w:id="52" w:name="product_lifespan_calc"/>
      <w:bookmarkEnd w:id="52"/>
      <w:r>
        <w:t xml:space="preserve"> </w:t>
      </w:r>
      <w:r>
        <w:t xml:space="preserve">years</w:t>
      </w:r>
    </w:p>
    <w:p>
      <w:pPr>
        <w:numPr>
          <w:ilvl w:val="0"/>
          <w:numId w:val="1014"/>
        </w:numPr>
        <w:pStyle w:val="Compact"/>
      </w:pPr>
      <w:r>
        <w:t xml:space="preserve">Energy Consumption in Use (per year):</w:t>
      </w:r>
      <w:r>
        <w:t xml:space="preserve"> </w:t>
      </w:r>
      <w:bookmarkStart w:id="53" w:name="energy_consumption_use_calc"/>
      <w:bookmarkEnd w:id="53"/>
      <w:r>
        <w:t xml:space="preserve"> </w:t>
      </w:r>
      <w:r>
        <w:t xml:space="preserve">kWh/year</w:t>
      </w:r>
    </w:p>
    <w:p>
      <w:pPr>
        <w:numPr>
          <w:ilvl w:val="0"/>
          <w:numId w:val="1014"/>
        </w:numPr>
        <w:pStyle w:val="Compact"/>
      </w:pPr>
      <w:r>
        <w:t xml:space="preserve">End-User Country Grid Emission Factor (Europe average): 0.25 kg CO₂e/kWh (proxy)</w:t>
      </w:r>
    </w:p>
    <w:bookmarkEnd w:id="54"/>
    <w:bookmarkStart w:id="58" w:name="Xd43c50d4251f58df225b47d1a0cfcbbcbe35fa2"/>
    <w:p>
      <w:pPr>
        <w:pStyle w:val="Heading3"/>
      </w:pPr>
      <w:r>
        <w:t xml:space="preserve">3.5. End-of-Life (EoL) Emissions &amp; Circularity Impacts (Scope 3)</w:t>
      </w:r>
    </w:p>
    <w:p>
      <w:pPr>
        <w:pStyle w:val="FirstParagraph"/>
      </w:pPr>
      <w:r>
        <w:t xml:space="preserve">Emissions from disposal of the product at its end-of-life, alongside considerations</w:t>
      </w:r>
      <w:r>
        <w:t xml:space="preserve"> </w:t>
      </w:r>
      <w:r>
        <w:t xml:space="preserve">for circular economy impacts.</w:t>
      </w:r>
    </w:p>
    <w:p>
      <w:pPr>
        <w:numPr>
          <w:ilvl w:val="0"/>
          <w:numId w:val="1015"/>
        </w:numPr>
        <w:pStyle w:val="Compact"/>
      </w:pPr>
      <w:r>
        <w:t xml:space="preserve">Recyclability Percentage:</w:t>
      </w:r>
      <w:r>
        <w:t xml:space="preserve"> </w:t>
      </w:r>
      <w:bookmarkStart w:id="55" w:name="recyclability_percentage_calc"/>
      <w:bookmarkEnd w:id="55"/>
      <w:r>
        <w:t xml:space="preserve">%</w:t>
      </w:r>
    </w:p>
    <w:p>
      <w:pPr>
        <w:numPr>
          <w:ilvl w:val="0"/>
          <w:numId w:val="1015"/>
        </w:numPr>
        <w:pStyle w:val="Compact"/>
      </w:pPr>
      <w:r>
        <w:t xml:space="preserve">Product Weight: 1.0 kg</w:t>
      </w:r>
    </w:p>
    <w:p>
      <w:pPr>
        <w:numPr>
          <w:ilvl w:val="0"/>
          <w:numId w:val="1015"/>
        </w:numPr>
        <w:pStyle w:val="Compact"/>
      </w:pPr>
      <w:r>
        <w:t xml:space="preserve">Landfill Emission Factor (Mixed Waste): 0.40 kg CO₂e/kg</w:t>
      </w:r>
      <w:r>
        <w:t xml:space="preserve"> </w:t>
      </w:r>
    </w:p>
    <w:bookmarkStart w:id="57" w:name="Xc0aa11ea1f070cd7e31222f44e6f60c75b17d4d"/>
    <w:p>
      <w:pPr>
        <w:pStyle w:val="Heading4"/>
      </w:pPr>
      <w:r>
        <w:t xml:space="preserve">3.5.1. Circularity Impacts (Qualitative &amp; Potential Benefits)</w:t>
      </w:r>
    </w:p>
    <w:p>
      <w:pPr>
        <w:pStyle w:val="FirstParagraph"/>
      </w:pPr>
      <w:r>
        <w:t xml:space="preserve">The company\'s commitment to a</w:t>
      </w:r>
      <w:r>
        <w:t xml:space="preserve"> </w:t>
      </w:r>
      <w:bookmarkStart w:id="56" w:name="circular_programs_qualitative"/>
      <w:r>
        <w:t xml:space="preserve">Active take-back program for material recovery and refurbishment.</w:t>
      </w:r>
      <w:bookmarkEnd w:id="56"/>
      <w:r>
        <w:t xml:space="preserve"> </w:t>
      </w:r>
      <w:r>
        <w:t xml:space="preserve">can significantly mitigate the product\'s overall environmental impact. While the above</w:t>
      </w:r>
      <w:r>
        <w:t xml:space="preserve"> </w:t>
      </w:r>
      <w:r>
        <w:t xml:space="preserve">EoL calculation reflects the burden of non-recycled waste, successful recycling and reuse</w:t>
      </w:r>
      <w:r>
        <w:t xml:space="preserve"> </w:t>
      </w:r>
      <w:r>
        <w:t xml:space="preserve">programs introduce avoided emissions by displacing virgin material production.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Recycled Plastics:</w:t>
      </w:r>
      <w:r>
        <w:t xml:space="preserve"> </w:t>
      </w:r>
      <w:r>
        <w:t xml:space="preserve">If the 0.3 kg of plastic enclosure is recycled and replaces virgin plastic,</w:t>
      </w:r>
      <w:r>
        <w:t xml:space="preserve"> </w:t>
      </w:r>
      <w:r>
        <w:t xml:space="preserve">potential avoided emissions could be approximately 0.3 kg * 1.5 kg CO₂e/kg = 0.45 kg CO₂e.</w:t>
      </w:r>
      <w:r>
        <w:t xml:space="preserve"> 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Recycled Metals (Aluminium &amp; Copper):</w:t>
      </w:r>
      <w:r>
        <w:t xml:space="preserve"> </w:t>
      </w:r>
      <w:r>
        <w:t xml:space="preserve">If the 0.4 kg Aluminium casing and 0.05 kg Copper wiring</w:t>
      </w:r>
      <w:r>
        <w:t xml:space="preserve"> </w:t>
      </w:r>
      <w:r>
        <w:t xml:space="preserve">are recycled, potential avoided emissions could be significant. For instance, recycling aluminium reduces emissions</w:t>
      </w:r>
      <w:r>
        <w:t xml:space="preserve"> </w:t>
      </w:r>
      <w:r>
        <w:t xml:space="preserve">by approximately 95% compared to primary production.</w:t>
      </w:r>
      <w:r>
        <w:t xml:space="preserve"> </w:t>
      </w:r>
      <w:r>
        <w:t xml:space="preserve"> </w:t>
      </w:r>
      <w:r>
        <w:t xml:space="preserve">Total metal weight = 0.45 kg. Potential avoided emissions for metals: 0.45 kg * 2.0 kg CO₂e/kg = 0.90 kg CO₂e.</w:t>
      </w:r>
      <w:r>
        <w:t xml:space="preserve"> </w:t>
      </w:r>
    </w:p>
    <w:p>
      <w:pPr>
        <w:numPr>
          <w:ilvl w:val="0"/>
          <w:numId w:val="1016"/>
        </w:numPr>
        <w:pStyle w:val="Compact"/>
      </w:pPr>
      <w:r>
        <w:t xml:space="preserve">These avoided emissions represent a positive impact of circular economy practices,</w:t>
      </w:r>
      <w:r>
        <w:t xml:space="preserve"> </w:t>
      </w:r>
      <w:r>
        <w:t xml:space="preserve">reducing the overall system burden, though typically reported separately from the</w:t>
      </w:r>
      <w:r>
        <w:t xml:space="preserve"> </w:t>
      </w:r>
      <w:r>
        <w:t xml:space="preserve">product\'s direct lifecycle emissions burden as per GHG Protocol guidance on benefits.</w:t>
      </w:r>
    </w:p>
    <w:p>
      <w:r>
        <w:pict>
          <v:rect style="width:0;height:1.5pt" o:hralign="center" o:hrstd="t" o:hr="t"/>
        </w:pict>
      </w:r>
    </w:p>
    <w:bookmarkEnd w:id="57"/>
    <w:bookmarkEnd w:id="58"/>
    <w:bookmarkEnd w:id="59"/>
    <w:bookmarkStart w:id="62" w:name="total-product-carbon-footprint-summary"/>
    <w:p>
      <w:pPr>
        <w:pStyle w:val="Heading2"/>
      </w:pPr>
      <w:r>
        <w:t xml:space="preserve">4. Total Product Carbon Footprint Summary</w:t>
      </w:r>
    </w:p>
    <w:p>
      <w:pPr>
        <w:pStyle w:val="FirstParagraph"/>
      </w:pPr>
      <w:r>
        <w:t xml:space="preserve">The aggregated Product Carbon Footprint for one functional unit of jkvvpynpiq is presented below.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CO₂e/unit)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 (Market-based)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 (Raw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4)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 (China to Europe)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4)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 (Europe Distribution &amp; Last 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(Categories 4 &amp; 9)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11)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(Landfill)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12)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</w:p>
        </w:tc>
      </w:tr>
    </w:tbl>
    <w:bookmarkStart w:id="60" w:name="hotspots-analysis"/>
    <w:p>
      <w:pPr>
        <w:pStyle w:val="Heading3"/>
      </w:pPr>
      <w:r>
        <w:t xml:space="preserve">4.1. Hotspots Analysis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Material Acquisition and Pre-processing (Scope 3 - Category 1):</w:t>
      </w:r>
      <w:r>
        <w:t xml:space="preserve"> </w:t>
      </w:r>
      <w:r>
        <w:t xml:space="preserve">This stage represents the largest</w:t>
      </w:r>
      <w:r>
        <w:t xml:space="preserve"> </w:t>
      </w:r>
      <w:r>
        <w:t xml:space="preserve">contributor to the PCF, primarily due to high emission factors associated with</w:t>
      </w:r>
      <w:r>
        <w:t xml:space="preserve"> </w:t>
      </w:r>
      <w:r>
        <w:t xml:space="preserve">primary metal (aluminium) and complex electronic component manufacturing.</w:t>
      </w:r>
      <w:r>
        <w:t xml:space="preserve"> </w:t>
      </w:r>
      <w:r>
        <w:t xml:space="preserve">This highlights the importance of sustainable sourcing and material efficiency.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Use Phase (Scope 3 - Category 11):</w:t>
      </w:r>
      <w:r>
        <w:t xml:space="preserve"> </w:t>
      </w:r>
      <w:r>
        <w:t xml:space="preserve">The energy consumption during the product\'s</w:t>
      </w:r>
      <w:r>
        <w:t xml:space="preserve"> </w:t>
      </w:r>
      <w:r>
        <w:t xml:space="preserve">lifespan significantly contributes to the footprint, especially if powered by grids</w:t>
      </w:r>
      <w:r>
        <w:t xml:space="preserve"> </w:t>
      </w:r>
      <w:r>
        <w:t xml:space="preserve">with high carbon intensity. Product energy efficiency improvements are critical here.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Transportation (Scope 3 - Categories 4 &amp; 9):</w:t>
      </w:r>
      <w:r>
        <w:t xml:space="preserve"> </w:t>
      </w:r>
      <w:r>
        <w:t xml:space="preserve">While less dominant than materials or use phase,</w:t>
      </w:r>
      <w:r>
        <w:t xml:space="preserve"> </w:t>
      </w:r>
      <w:r>
        <w:t xml:space="preserve">long-distance sea freight and final distribution contribute meaningfully. Optimizing</w:t>
      </w:r>
      <w:r>
        <w:t xml:space="preserve"> </w:t>
      </w:r>
      <w:r>
        <w:t xml:space="preserve">logistics, load factors, and shifting to lower-emission transport modes can reduce this impact.</w:t>
      </w:r>
    </w:p>
    <w:bookmarkEnd w:id="60"/>
    <w:bookmarkStart w:id="61" w:name="reliability-of-results"/>
    <w:p>
      <w:pPr>
        <w:pStyle w:val="Heading3"/>
      </w:pPr>
      <w:r>
        <w:t xml:space="preserve">4.2. Reliability of Results</w:t>
      </w:r>
    </w:p>
    <w:p>
      <w:pPr>
        <w:pStyle w:val="FirstParagraph"/>
      </w:pPr>
      <w:r>
        <w:t xml:space="preserve">The results are based on a combination of specific parameters provided by jfkztwjnyi</w:t>
      </w:r>
      <w:r>
        <w:t xml:space="preserve"> </w:t>
      </w:r>
      <w:r>
        <w:t xml:space="preserve">and publicly available, industry-average emission factors from reputable sources such as</w:t>
      </w:r>
      <w:r>
        <w:t xml:space="preserve"> </w:t>
      </w:r>
      <w:r>
        <w:t xml:space="preserve">IEA, DEFRA, Climatiq, and academic studies. While these factors provide a robust estimate,</w:t>
      </w:r>
      <w:r>
        <w:t xml:space="preserve"> </w:t>
      </w:r>
      <w:r>
        <w:t xml:space="preserve">the accuracy could be further enhanced with primary data from specific suppliers</w:t>
      </w:r>
      <w:r>
        <w:t xml:space="preserve"> </w:t>
      </w:r>
      <w:r>
        <w:t xml:space="preserve">for all raw materials and energy consumed at each production stage.</w:t>
      </w:r>
      <w:r>
        <w:t xml:space="preserve"> </w:t>
      </w:r>
      <w:r>
        <w:t xml:space="preserve">The assumption of an average EU grid mix for the use phase also introduces a degree of generalization.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3" w:name="recommendations-for-emission-reduction"/>
    <w:p>
      <w:pPr>
        <w:pStyle w:val="Heading2"/>
      </w:pPr>
      <w:r>
        <w:t xml:space="preserve">5. Recommendations for Emission Reduction</w:t>
      </w:r>
    </w:p>
    <w:p>
      <w:pPr>
        <w:pStyle w:val="FirstParagraph"/>
      </w:pPr>
      <w:r>
        <w:t xml:space="preserve">Based on this PCF analysis, dhxjevnyel recommends the following strategies for jfkztwjnyi</w:t>
      </w:r>
      <w:r>
        <w:t xml:space="preserve"> </w:t>
      </w:r>
      <w:r>
        <w:t xml:space="preserve">to reduce the carbon footprint of jkvvpynpiq: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Prioritize sourcing materials with lower embedded</w:t>
      </w:r>
      <w:r>
        <w:t xml:space="preserve"> </w:t>
      </w:r>
      <w:r>
        <w:t xml:space="preserve">emissions, such as recycled content (e.g., recycled aluminium, recycled plastics) where feasible.</w:t>
      </w:r>
      <w:r>
        <w:t xml:space="preserve"> </w:t>
      </w:r>
      <w:r>
        <w:t xml:space="preserve">Engage with suppliers to obtain product-specific environmental product declarations (EPDs)</w:t>
      </w:r>
      <w:r>
        <w:t xml:space="preserve"> </w:t>
      </w:r>
      <w:r>
        <w:t xml:space="preserve">and primary emission data.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Energy Efficiency in Manufacturing:</w:t>
      </w:r>
      <w:r>
        <w:t xml:space="preserve"> </w:t>
      </w:r>
      <w:r>
        <w:t xml:space="preserve">Invest in energy-efficient manufacturing processes</w:t>
      </w:r>
      <w:r>
        <w:t xml:space="preserve"> </w:t>
      </w:r>
      <w:r>
        <w:t xml:space="preserve">and machinery in production facilities. Continue to increase the share of renewable energy</w:t>
      </w:r>
      <w:r>
        <w:t xml:space="preserve"> </w:t>
      </w:r>
      <w:r>
        <w:t xml:space="preserve">usage beyond the current 75% for manufacturing operations.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Explore options for optimizing transportation routes and modes.</w:t>
      </w:r>
      <w:r>
        <w:t xml:space="preserve"> </w:t>
      </w:r>
      <w:r>
        <w:t xml:space="preserve">Maximize load factors for both inbound and outbound shipments. Investigate</w:t>
      </w:r>
      <w:r>
        <w:t xml:space="preserve"> </w:t>
      </w:r>
      <w:r>
        <w:t xml:space="preserve">opportunities for multimodal transport solutions (e.g., rail within Europe).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Product Design for Longevity &amp; Efficiency:</w:t>
      </w:r>
      <w:r>
        <w:t xml:space="preserve"> </w:t>
      </w:r>
      <w:r>
        <w:t xml:space="preserve">Design jkvvpynpiq for extended lifespan</w:t>
      </w:r>
      <w:r>
        <w:t xml:space="preserve"> </w:t>
      </w:r>
      <w:r>
        <w:t xml:space="preserve">and improved energy efficiency during its use phase. This could include using more durable</w:t>
      </w:r>
      <w:r>
        <w:t xml:space="preserve"> </w:t>
      </w:r>
      <w:r>
        <w:t xml:space="preserve">components, modular designs for easier repair, and integrating smart energy-saving features.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Enhance Circular Economy Initiatives:</w:t>
      </w:r>
      <w:r>
        <w:t xml:space="preserve"> </w:t>
      </w:r>
      <w:r>
        <w:t xml:space="preserve">Strengthen and expand the existing</w:t>
      </w:r>
      <w:r>
        <w:t xml:space="preserve"> </w:t>
      </w:r>
      <w:r>
        <w:t xml:space="preserve">take-back programs to maximize material recovery and reuse. Develop clear pathways</w:t>
      </w:r>
      <w:r>
        <w:t xml:space="preserve"> </w:t>
      </w:r>
      <w:r>
        <w:t xml:space="preserve">for refurbishment and end-of-life recycling for all product components.</w:t>
      </w:r>
      <w:r>
        <w:t xml:space="preserve"> </w:t>
      </w:r>
      <w:r>
        <w:t xml:space="preserve">Communicate the benefits of these programs to customers.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Supplier Engagement for Scope 3 Data:</w:t>
      </w:r>
      <w:r>
        <w:t xml:space="preserve"> </w:t>
      </w:r>
      <w:r>
        <w:t xml:space="preserve">Systematically collect primary Scope 3 data</w:t>
      </w:r>
      <w:r>
        <w:t xml:space="preserve"> </w:t>
      </w:r>
      <w:r>
        <w:t xml:space="preserve">from key upstream suppliers to improve the accuracy of future PCF assessments and</w:t>
      </w:r>
      <w:r>
        <w:t xml:space="preserve"> </w:t>
      </w:r>
      <w:r>
        <w:t xml:space="preserve">identify more granular reduction opportunities.</w:t>
      </w:r>
    </w:p>
    <w:p>
      <w:r>
        <w:pict>
          <v:rect style="width:0;height:1.5pt" o:hralign="center" o:hrstd="t" o:hr="t"/>
        </w:pict>
      </w:r>
    </w:p>
    <w:bookmarkEnd w:id="63"/>
    <w:bookmarkStart w:id="64" w:name="Xab4a4c16cc362fa6e7c6d665f2ae6e11cff7540"/>
    <w:p>
      <w:pPr>
        <w:pStyle w:val="Heading2"/>
      </w:pPr>
      <w:r>
        <w:t xml:space="preserve">Appendix A: Emission Factor Sources &amp; Methodologies</w:t>
      </w:r>
    </w:p>
    <w:p>
      <w:pPr>
        <w:pStyle w:val="FirstParagraph"/>
      </w:pPr>
      <w:r>
        <w:t xml:space="preserve">This report utilizes emission factors primarily from recognized databases and scientific literature.</w:t>
      </w:r>
      <w:r>
        <w:t xml:space="preserve"> </w:t>
      </w:r>
      <w:r>
        <w:t xml:space="preserve">The approach aligns with GHG Protocol guidelines for secondary data application when primary data is unavailable.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Electricity Grid Factors:</w:t>
      </w:r>
      <w:r>
        <w:t xml:space="preserve"> </w:t>
      </w:r>
      <w:r>
        <w:t xml:space="preserve">International Energy Agency (IEA) and Ministry of Ecology and Environment (MEE) for China</w:t>
      </w:r>
      <w:r>
        <w:t xml:space="preserve"> </w:t>
      </w:r>
      <w:r>
        <w:t xml:space="preserve">. General European average proxy.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Material Factors:</w:t>
      </w:r>
      <w:r>
        <w:t xml:space="preserve"> </w:t>
      </w:r>
      <w:r>
        <w:t xml:space="preserve">OpenCO2.net</w:t>
      </w:r>
      <w:r>
        <w:t xml:space="preserve"> </w:t>
      </w:r>
      <w:r>
        <w:t xml:space="preserve">, Climatiq</w:t>
      </w:r>
      <w:r>
        <w:t xml:space="preserve"> </w:t>
      </w:r>
      <w:r>
        <w:t xml:space="preserve">, Consumer Ecology</w:t>
      </w:r>
      <w:r>
        <w:t xml:space="preserve"> </w:t>
      </w:r>
      <w:r>
        <w:t xml:space="preserve">, Carbonfact</w:t>
      </w:r>
      <w:r>
        <w:t xml:space="preserve"> </w:t>
      </w:r>
      <w:r>
        <w:t xml:space="preserve">, ALPLA Blog</w:t>
      </w:r>
      <w:r>
        <w:t xml:space="preserve"> </w:t>
      </w:r>
      <w:r>
        <w:t xml:space="preserve">, European Aluminium</w:t>
      </w:r>
      <w:r>
        <w:t xml:space="preserve"> </w:t>
      </w:r>
      <w:r>
        <w:t xml:space="preserve">, ResearchGate</w:t>
      </w:r>
      <w:r>
        <w:t xml:space="preserve"> </w:t>
      </w:r>
      <w:r>
        <w:t xml:space="preserve">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Transportation Factors:</w:t>
      </w:r>
      <w:r>
        <w:t xml:space="preserve"> </w:t>
      </w:r>
      <w:r>
        <w:t xml:space="preserve">DEFRA, GLEC</w:t>
      </w:r>
      <w:r>
        <w:t xml:space="preserve"> </w:t>
      </w:r>
      <w:r>
        <w:t xml:space="preserve">, FreightAmigo</w:t>
      </w:r>
      <w:r>
        <w:t xml:space="preserve"> </w:t>
      </w:r>
      <w:r>
        <w:t xml:space="preserve">, CN Rail</w:t>
      </w:r>
      <w:r>
        <w:t xml:space="preserve"> </w:t>
      </w:r>
      <w:r>
        <w:t xml:space="preserve">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End-of-Life Factors:</w:t>
      </w:r>
      <w:r>
        <w:t xml:space="preserve"> </w:t>
      </w:r>
      <w:r>
        <w:t xml:space="preserve">EPA WARM</w:t>
      </w:r>
      <w:r>
        <w:t xml:space="preserve"> </w:t>
      </w:r>
      <w:r>
        <w:t xml:space="preserve">, JASPERS</w:t>
      </w:r>
      <w:r>
        <w:t xml:space="preserve"> </w:t>
      </w:r>
      <w:r>
        <w:t xml:space="preserve">, ResearchGate</w:t>
      </w:r>
      <w:r>
        <w:t xml:space="preserve"> </w:t>
      </w:r>
      <w:r>
        <w:t xml:space="preserve">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GHG Protocol Guidance:</w:t>
      </w:r>
      <w:r>
        <w:t xml:space="preserve"> </w:t>
      </w:r>
      <w:r>
        <w:t xml:space="preserve">Corporate Standard and Product Standard</w:t>
      </w:r>
      <w:r>
        <w:t xml:space="preserve"> 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 </w:t>
      </w:r>
      <w:r>
        <w:t xml:space="preserve">| Confidential - Internal Use Only</w:t>
      </w:r>
    </w:p>
    <w:bookmarkEnd w:id="6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(PCF) Analysis Report for jkvvpynpiq</dc:title>
  <dc:creator/>
  <dc:description>High-detail Product Carbon Footprint (PCF) analysis report for product jkvvpynpiq, prepared by Senior Sustainability Consultant dhxjevnyel for jfkztwjnyi, following GHG Protocol standards.</dc:description>
  <dc:language>en</dc:language>
  <cp:keywords/>
  <dcterms:created xsi:type="dcterms:W3CDTF">2026-07-15T06:01:24Z</dcterms:created>
  <dcterms:modified xsi:type="dcterms:W3CDTF">2026-07-15T06:01:24Z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