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jkizxdueoh</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rPr>
          <w:bCs/>
          <w:b/>
        </w:rPr>
        <w:t xml:space="preserve">jkizxdueoh</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ekuvnwxksx</w:t>
      </w:r>
    </w:p>
    <w:p>
      <w:pPr>
        <w:pStyle w:val="BodyText"/>
      </w:pPr>
      <w:r>
        <w:rPr>
          <w:bCs/>
          <w:b/>
        </w:rPr>
        <w:t xml:space="preserve">Senior Sustainability Consultant:</w:t>
      </w:r>
      <w:r>
        <w:t xml:space="preserve"> </w:t>
      </w:r>
      <w:r>
        <w:t xml:space="preserve">nvssdzwgyj</w:t>
      </w:r>
    </w:p>
    <w:p>
      <w:pPr>
        <w:pStyle w:val="BodyText"/>
      </w:pPr>
      <w:r>
        <w:t xml:space="preserve">This report is generated based on available data and industry standards. While every effort has been made to ensure accuracy, the actual carbon footprint may vary depending on real-world operational changes and precise data availability.</w:t>
      </w:r>
    </w:p>
    <w:bookmarkEnd w:id="20"/>
    <w:bookmarkStart w:id="21" w:name="Xec5042d535e9c8554abdb4491fec0e292ea2bc8"/>
    <w:p>
      <w:pPr>
        <w:pStyle w:val="Heading1"/>
      </w:pPr>
      <w:r>
        <w:t xml:space="preserve">Product Carbon Footprint (PCF) Analysis Report for jkizxdueoh</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jkizxdueoh</w:t>
      </w:r>
      <w:r>
        <w:t xml:space="preserve">, undertaken by</w:t>
      </w:r>
      <w:r>
        <w:t xml:space="preserve"> </w:t>
      </w:r>
      <w:r>
        <w:rPr>
          <w:bCs/>
          <w:b/>
        </w:rPr>
        <w:t xml:space="preserve">nvssdzwgyj</w:t>
      </w:r>
      <w:r>
        <w:t xml:space="preserve">, Senior Sustainability Consultant for</w:t>
      </w:r>
      <w:r>
        <w:t xml:space="preserve"> </w:t>
      </w:r>
      <w:r>
        <w:rPr>
          <w:bCs/>
          <w:b/>
        </w:rPr>
        <w:t xml:space="preserve">ekuvnwxksx</w:t>
      </w:r>
      <w:r>
        <w:t xml:space="preserve">. The analysis adheres strictly to the</w:t>
      </w:r>
      <w:r>
        <w:t xml:space="preserve"> </w:t>
      </w:r>
      <w:r>
        <w:rPr>
          <w:bCs/>
          <w:b/>
        </w:rPr>
        <w:t xml:space="preserve">GHG Protocol</w:t>
      </w:r>
      <w:r>
        <w:t xml:space="preserve"> </w:t>
      </w:r>
      <w:r>
        <w:t xml:space="preserve">standards, providing a comprehensive assessment of greenhouse gas emissions across the product\'s lifecycle. The objective is to identify emission hotspots, inform strategic decarbonization efforts, and ensure compliance with evolving sustainability reporting requirements, including a focus on achieving at least 95% Scope 3 coverage. This report utilizes a detailed Bill of Materials (BOM) and specific operational parameters to provide a robust and actionable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 of this PCF analysis is a clearly defined scope, aligning with the GHG Protocol Product Standard.</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jkizxdueoh. This provides a quantifiable basis for comparison and aggregation of environmental impacts.</w:t>
      </w:r>
    </w:p>
    <w:p>
      <w:pPr>
        <w:numPr>
          <w:ilvl w:val="0"/>
          <w:numId w:val="1001"/>
        </w:numPr>
        <w:pStyle w:val="Compact"/>
      </w:pPr>
      <w:r>
        <w:rPr>
          <w:bCs/>
          <w:b/>
        </w:rPr>
        <w:t xml:space="preserve">System Boundary:</w:t>
      </w:r>
      <w:r>
        <w:t xml:space="preserve"> </w:t>
      </w:r>
      <w:r>
        <w:t xml:space="preserve">The system boundary for this PCF is set at</w:t>
      </w:r>
      <w:r>
        <w:t xml:space="preserve"> </w:t>
      </w:r>
      <w:r>
        <w:rPr>
          <w:bCs/>
          <w:b/>
        </w:rPr>
        <w:t xml:space="preserve">factory_gate</w:t>
      </w:r>
      <w:r>
        <w:t xml:space="preserve">, encompassing all upstream activities, including raw material extraction, processing, and manufacturing up to the point the finished product leaves the production facility. It also includes emissions from the use phase and end-of-life treatment as per the prompt.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is conducted in accordance with the</w:t>
      </w:r>
      <w:r>
        <w:t xml:space="preserve"> </w:t>
      </w:r>
      <w:r>
        <w:rPr>
          <w:bCs/>
          <w:b/>
        </w:rPr>
        <w:t xml:space="preserve">GHG Protocol (Greenhouse Gas Protocol) Product Life Cycle Accounting and Reporting Standard</w:t>
      </w:r>
      <w:r>
        <w:t xml:space="preserve">. This standard provides a robust framework for measuring and managing GHG emissions from products, allowing for consistent and transparent reporting.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to the functional unit using mass-based allocation where relevant for co-products or by-products within the lifecycle stages. Where specific data is available, direct allocation is prioritized.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PCF analysis of jkizxdueoh. Due to the placeholder nature of some input parameters, plausible, industry-standard values have been assumed for calculation purposes, with the understanding that actual data from</w:t>
      </w:r>
      <w:r>
        <w:t xml:space="preserve"> </w:t>
      </w:r>
      <w:r>
        <w:rPr>
          <w:bCs/>
          <w:b/>
        </w:rPr>
        <w:t xml:space="preserve">ekuvnwxksx</w:t>
      </w:r>
      <w:r>
        <w:t xml:space="preserve"> </w:t>
      </w:r>
      <w:r>
        <w:t xml:space="preserve">would replace these for a definitive assessment. The</w:t>
      </w:r>
      <w:r>
        <w:t xml:space="preserve"> </w:t>
      </w:r>
      <w:r>
        <w:rPr>
          <w:bCs/>
          <w:b/>
        </w:rPr>
        <w:t xml:space="preserve">2026 Land Sector and Removals (LSR) Standard Update</w:t>
      </w:r>
      <w:r>
        <w:t xml:space="preserve"> </w:t>
      </w:r>
      <w:r>
        <w:t xml:space="preserve">is acknowledged, which provides requirements for accounting for land sector emissions and CO2 removals. While direct land-use change for the product itself is not a primary factor in this specific PCF, the LSR Standard\'s principles are considered for any biomass-derived materials or land-intensive processes in the wider supply chain, though specific data on these is not provided here.</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detailed Bill of Materials (BOM) (</w:t>
      </w:r>
      <w:r>
        <w:rPr>
          <w:bCs/>
          <w:b/>
        </w:rPr>
        <w:t xml:space="preserve">ziipdnlv</w:t>
      </w:r>
      <w:r>
        <w:t xml:space="preserve">) was used to calculate the material impact. Emission factors are representative of cradle-to-gate emissions for the respective materials and processes, sourced from industry-standard databases like Ecoinvent and DEFRA, or plausible estimates where specific data for China/Europe was unavailable.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11.0 (Primary Aluminum)</w:t>
            </w:r>
          </w:p>
        </w:tc>
        <w:tc>
          <w:tcPr/>
          <w:p>
            <w:pPr>
              <w:pStyle w:val="Compact"/>
              <w:jc w:val="left"/>
            </w:pPr>
            <w:r>
              <w:t xml:space="preserve">5.50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(Virgin Plastic)</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(Complex PCB)</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(Virgin Copper Wire)</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(Virgin Cardboard)</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9.30 kgCO2e</w:t>
            </w:r>
          </w:p>
        </w:tc>
      </w:tr>
    </w:tbl>
    <w:p>
      <w:pPr>
        <w:pStyle w:val="BodyText"/>
      </w:pPr>
      <w:r>
        <w:rPr>
          <w:iCs/>
          <w:i/>
        </w:rPr>
        <w:t xml:space="preserve">Assumed Emission Factor Sources:</w:t>
      </w:r>
      <w:r>
        <w:t xml:space="preserve"> </w:t>
      </w:r>
      <w:r>
        <w:t xml:space="preserve">Aluminum factor based on typical primary aluminum production. Plastic factor is a general average for virgin plastics. PCB manufacturing factor is an estimation for a complex board. Copper wire factor includes raw material and drawing. Packaging cardboard factor based on virgin pulp and paper production.</w:t>
      </w:r>
    </w:p>
    <w:bookmarkEnd w:id="24"/>
    <w:bookmarkStart w:id="25" w:name="Xab442fc67be32b1f503159afb68c41e46778994"/>
    <w:p>
      <w:pPr>
        <w:pStyle w:val="Heading3"/>
      </w:pPr>
      <w:r>
        <w:t xml:space="preserve">Production Phase Energy Inputs (Scope 2 &amp; Scope 3, Category 3)</w:t>
      </w:r>
    </w:p>
    <w:p>
      <w:pPr>
        <w:numPr>
          <w:ilvl w:val="0"/>
          <w:numId w:val="1003"/>
        </w:numPr>
        <w:pStyle w:val="Compact"/>
      </w:pPr>
      <w:r>
        <w:rPr>
          <w:bCs/>
          <w:b/>
        </w:rPr>
        <w:t xml:space="preserve">Energy Intensity (kWh/unit):</w:t>
      </w:r>
      <w:r>
        <w:t xml:space="preserve"> </w:t>
      </w:r>
      <w:r>
        <w:rPr>
          <w:bCs/>
          <w:b/>
        </w:rPr>
        <w:t xml:space="preserve">xdwjtpwsvn</w:t>
      </w:r>
      <w:r>
        <w:t xml:space="preserve"> </w:t>
      </w:r>
      <w:r>
        <w:t xml:space="preserve">(assumed 5.0 kWh/unit)</w:t>
      </w:r>
    </w:p>
    <w:p>
      <w:pPr>
        <w:numPr>
          <w:ilvl w:val="0"/>
          <w:numId w:val="1003"/>
        </w:numPr>
        <w:pStyle w:val="Compact"/>
      </w:pPr>
      <w:r>
        <w:rPr>
          <w:bCs/>
          <w:b/>
        </w:rPr>
        <w:t xml:space="preserve">Renewable Energy Usage (qyzkdgvsry):</w:t>
      </w:r>
      <w:r>
        <w:t xml:space="preserve"> </w:t>
      </w:r>
      <w:r>
        <w:rPr>
          <w:bCs/>
          <w:b/>
        </w:rPr>
        <w:t xml:space="preserve">70%</w:t>
      </w:r>
    </w:p>
    <w:p>
      <w:pPr>
        <w:pStyle w:val="FirstParagraph"/>
      </w:pPr>
      <w:r>
        <w:rPr>
          <w:bCs/>
          <w:b/>
        </w:rPr>
        <w:t xml:space="preserve">Calculations:</w:t>
      </w:r>
    </w:p>
    <w:p>
      <w:pPr>
        <w:numPr>
          <w:ilvl w:val="0"/>
          <w:numId w:val="1004"/>
        </w:numPr>
        <w:pStyle w:val="Compact"/>
      </w:pPr>
      <w:r>
        <w:t xml:space="preserve">Total Production Energy: 5.0 kWh/unit</w:t>
      </w:r>
    </w:p>
    <w:p>
      <w:pPr>
        <w:numPr>
          <w:ilvl w:val="0"/>
          <w:numId w:val="1004"/>
        </w:numPr>
        <w:pStyle w:val="Compact"/>
      </w:pPr>
      <w:r>
        <w:t xml:space="preserve">Renewable Energy: 5.0 kWh * 70% = 3.5 kWh (0 kgCO2e)</w:t>
      </w:r>
    </w:p>
    <w:p>
      <w:pPr>
        <w:numPr>
          <w:ilvl w:val="0"/>
          <w:numId w:val="1004"/>
        </w:numPr>
        <w:pStyle w:val="Compact"/>
      </w:pPr>
      <w:r>
        <w:t xml:space="preserve">Non-Renewable Energy: 5.0 kWh * 30% = 1.5 kWh</w:t>
      </w:r>
    </w:p>
    <w:p>
      <w:pPr>
        <w:numPr>
          <w:ilvl w:val="0"/>
          <w:numId w:val="1004"/>
        </w:numPr>
        <w:pStyle w:val="Compact"/>
      </w:pPr>
      <w:r>
        <w:t xml:space="preserve">China Grid Emission Factor (non-renewable): 0.6 kgCO2e/kWh</w:t>
      </w:r>
    </w:p>
    <w:p>
      <w:pPr>
        <w:numPr>
          <w:ilvl w:val="0"/>
          <w:numId w:val="1004"/>
        </w:numPr>
        <w:pStyle w:val="Compact"/>
      </w:pPr>
      <w:r>
        <w:rPr>
          <w:bCs/>
          <w:b/>
        </w:rPr>
        <w:t xml:space="preserve">Production Energy Emissions (Scope 2):</w:t>
      </w:r>
      <w:r>
        <w:t xml:space="preserve"> </w:t>
      </w:r>
      <w:r>
        <w:t xml:space="preserve">1.5 kWh * 0.6 kgCO2e/kWh =</w:t>
      </w:r>
      <w:r>
        <w:t xml:space="preserve"> </w:t>
      </w:r>
      <w:r>
        <w:rPr>
          <w:bCs/>
          <w:b/>
        </w:rPr>
        <w:t xml:space="preserve">0.90 kgCO2e</w:t>
      </w:r>
    </w:p>
    <w:p>
      <w:pPr>
        <w:numPr>
          <w:ilvl w:val="0"/>
          <w:numId w:val="1004"/>
        </w:numPr>
        <w:pStyle w:val="Compact"/>
      </w:pPr>
      <w:r>
        <w:rPr>
          <w:iCs/>
          <w:i/>
        </w:rPr>
        <w:t xml:space="preserve">Fuel and Energy-Related Activities (Scope 3, Category 3):</w:t>
      </w:r>
      <w:r>
        <w:t xml:space="preserve"> </w:t>
      </w:r>
      <w:r>
        <w:t xml:space="preserve">Upstream emissions related to the purchased non-renewable electricity (e.g., fuel extraction, transport, processing) are implicitly included within the well-to-wheel grid emission factor used or would be accounted for in a more granular Scope 3 analysis of purchased electricity. For this report, the 0.6 kgCO2e/kWh factor is considered comprehensive for purchased electricity.</w:t>
      </w:r>
    </w:p>
    <w:bookmarkEnd w:id="25"/>
    <w:bookmarkStart w:id="26" w:name="X3723e3daf7601190b39b0cc5df66aa9253ef03a"/>
    <w:p>
      <w:pPr>
        <w:pStyle w:val="Heading3"/>
      </w:pPr>
      <w:r>
        <w:t xml:space="preserve">Logistics Data - Transport (Scope 3, Categories 4 &amp; 9)</w:t>
      </w:r>
    </w:p>
    <w:p>
      <w:pPr>
        <w:pStyle w:val="FirstParagraph"/>
      </w:pPr>
      <w:r>
        <w:t xml:space="preserve">Transportation plays a significant role in the overall PCF, encompassing both upstream (raw materials to factory) and downstream (factory to customer) movements. The product weight is assumed to be 1.5 kg (sum of BOM items and packaging).</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(assumed: Ocean Freight &amp; Road Freight)</w:t>
      </w:r>
    </w:p>
    <w:p>
      <w:pPr>
        <w:numPr>
          <w:ilvl w:val="0"/>
          <w:numId w:val="1005"/>
        </w:numPr>
        <w:pStyle w:val="Compact"/>
      </w:pPr>
      <w:r>
        <w:rPr>
          <w:bCs/>
          <w:b/>
        </w:rPr>
        <w:t xml:space="preserve">Transport Distance (qzmuiwdjxk):</w:t>
      </w:r>
      <w:r>
        <w:t xml:space="preserve"> </w:t>
      </w:r>
      <w:r>
        <w:rPr>
          <w:bCs/>
          <w:b/>
        </w:rPr>
        <w:t xml:space="preserve">Ocean: 15,000 km, Road: 500 km</w:t>
      </w:r>
    </w:p>
    <w:p>
      <w:pPr>
        <w:numPr>
          <w:ilvl w:val="0"/>
          <w:numId w:val="1005"/>
        </w:numPr>
        <w:pStyle w:val="Compact"/>
      </w:pPr>
      <w:r>
        <w:rPr>
          <w:bCs/>
          <w:b/>
        </w:rPr>
        <w:t xml:space="preserve">Last-Mile Delivery Channel (Delivery Type):</w:t>
      </w:r>
      <w:r>
        <w:t xml:space="preserve"> </w:t>
      </w:r>
      <w:r>
        <w:rPr>
          <w:bCs/>
          <w:b/>
        </w:rPr>
        <w:t xml:space="preserve">Courier Van (Diesel)</w:t>
      </w:r>
    </w:p>
    <w:p>
      <w:pPr>
        <w:pStyle w:val="FirstParagraph"/>
      </w:pPr>
      <w:r>
        <w:rPr>
          <w:bCs/>
          <w:b/>
        </w:rPr>
        <w:t xml:space="preserve">Calculations:</w:t>
      </w:r>
    </w:p>
    <w:p>
      <w:pPr>
        <w:numPr>
          <w:ilvl w:val="0"/>
          <w:numId w:val="1006"/>
        </w:numPr>
        <w:pStyle w:val="Compact"/>
      </w:pPr>
      <w:r>
        <w:rPr>
          <w:bCs/>
          <w:b/>
        </w:rPr>
        <w:t xml:space="preserve">Ocean Freight (Upstream, Scope 3, Category 4):</w:t>
      </w:r>
    </w:p>
    <w:p>
      <w:pPr>
        <w:numPr>
          <w:ilvl w:val="1"/>
          <w:numId w:val="1007"/>
        </w:numPr>
        <w:pStyle w:val="Compact"/>
      </w:pPr>
      <w:r>
        <w:t xml:space="preserve">Product Weight: 1.5 kg = 0.0015 tonnes</w:t>
      </w:r>
    </w:p>
    <w:p>
      <w:pPr>
        <w:numPr>
          <w:ilvl w:val="1"/>
          <w:numId w:val="1007"/>
        </w:numPr>
        <w:pStyle w:val="Compact"/>
      </w:pPr>
      <w:r>
        <w:t xml:space="preserve">Distance: 15,000 km</w:t>
      </w:r>
    </w:p>
    <w:p>
      <w:pPr>
        <w:numPr>
          <w:ilvl w:val="1"/>
          <w:numId w:val="1007"/>
        </w:numPr>
        <w:pStyle w:val="Compact"/>
      </w:pPr>
      <w:r>
        <w:t xml:space="preserve">Emission Factor (Container Ship Average): 0.016 kgCO2e/tkm</w:t>
      </w:r>
    </w:p>
    <w:p>
      <w:pPr>
        <w:numPr>
          <w:ilvl w:val="1"/>
          <w:numId w:val="1007"/>
        </w:numPr>
        <w:pStyle w:val="Compact"/>
      </w:pPr>
      <w:r>
        <w:t xml:space="preserve">Emissions: 0.0015 t * 15,000 km * 0.016 kgCO2e/tkm =</w:t>
      </w:r>
      <w:r>
        <w:t xml:space="preserve"> </w:t>
      </w:r>
      <w:r>
        <w:rPr>
          <w:bCs/>
          <w:b/>
        </w:rPr>
        <w:t xml:space="preserve">0.36 kgCO2e</w:t>
      </w:r>
    </w:p>
    <w:p>
      <w:pPr>
        <w:numPr>
          <w:ilvl w:val="0"/>
          <w:numId w:val="1006"/>
        </w:numPr>
        <w:pStyle w:val="Compact"/>
      </w:pPr>
      <w:r>
        <w:rPr>
          <w:bCs/>
          <w:b/>
        </w:rPr>
        <w:t xml:space="preserve">Road Freight (Upstream, Scope 3, Category 4):</w:t>
      </w:r>
    </w:p>
    <w:p>
      <w:pPr>
        <w:numPr>
          <w:ilvl w:val="1"/>
          <w:numId w:val="1008"/>
        </w:numPr>
        <w:pStyle w:val="Compact"/>
      </w:pPr>
      <w:r>
        <w:t xml:space="preserve">Product Weight: 1.5 kg = 0.0015 tonnes</w:t>
      </w:r>
    </w:p>
    <w:p>
      <w:pPr>
        <w:numPr>
          <w:ilvl w:val="1"/>
          <w:numId w:val="1008"/>
        </w:numPr>
        <w:pStyle w:val="Compact"/>
      </w:pPr>
      <w:r>
        <w:t xml:space="preserve">Distance: 500 km</w:t>
      </w:r>
    </w:p>
    <w:p>
      <w:pPr>
        <w:numPr>
          <w:ilvl w:val="1"/>
          <w:numId w:val="1008"/>
        </w:numPr>
        <w:pStyle w:val="Compact"/>
      </w:pPr>
      <w:r>
        <w:t xml:space="preserve">Emission Factor (Heavy Duty Truck): 0.075 kgCO2e/tkm</w:t>
      </w:r>
    </w:p>
    <w:p>
      <w:pPr>
        <w:numPr>
          <w:ilvl w:val="1"/>
          <w:numId w:val="1008"/>
        </w:numPr>
        <w:pStyle w:val="Compact"/>
      </w:pPr>
      <w:r>
        <w:t xml:space="preserve">Emissions: 0.0015 t * 500 km * 0.075 kgCO2e/tkm =</w:t>
      </w:r>
      <w:r>
        <w:t xml:space="preserve"> </w:t>
      </w:r>
      <w:r>
        <w:rPr>
          <w:bCs/>
          <w:b/>
        </w:rPr>
        <w:t xml:space="preserve">0.056 kgCO2e</w:t>
      </w:r>
    </w:p>
    <w:p>
      <w:pPr>
        <w:numPr>
          <w:ilvl w:val="0"/>
          <w:numId w:val="1006"/>
        </w:numPr>
        <w:pStyle w:val="Compact"/>
      </w:pPr>
      <w:r>
        <w:rPr>
          <w:bCs/>
          <w:b/>
        </w:rPr>
        <w:t xml:space="preserve">Last-Mile Delivery (Downstream, Scope 3, Category 9):</w:t>
      </w:r>
    </w:p>
    <w:p>
      <w:pPr>
        <w:numPr>
          <w:ilvl w:val="1"/>
          <w:numId w:val="1009"/>
        </w:numPr>
        <w:pStyle w:val="Compact"/>
      </w:pPr>
      <w:r>
        <w:t xml:space="preserve">Assumed Last-Mile Distance: 50 km</w:t>
      </w:r>
    </w:p>
    <w:p>
      <w:pPr>
        <w:numPr>
          <w:ilvl w:val="1"/>
          <w:numId w:val="1009"/>
        </w:numPr>
        <w:pStyle w:val="Compact"/>
      </w:pPr>
      <w:r>
        <w:t xml:space="preserve">Emission Factor (Courier Van - estimation): 0.15 kgCO2e/tkm (higher due to stop-and-go nature, lower load factors)</w:t>
      </w:r>
    </w:p>
    <w:p>
      <w:pPr>
        <w:numPr>
          <w:ilvl w:val="1"/>
          <w:numId w:val="1009"/>
        </w:numPr>
        <w:pStyle w:val="Compact"/>
      </w:pPr>
      <w:r>
        <w:t xml:space="preserve">Emissions: 0.0015 t * 50 km * 0.15 kgCO2e/tkm =</w:t>
      </w:r>
      <w:r>
        <w:t xml:space="preserve"> </w:t>
      </w:r>
      <w:r>
        <w:rPr>
          <w:bCs/>
          <w:b/>
        </w:rPr>
        <w:t xml:space="preserve">0.011 kgCO2e</w:t>
      </w:r>
    </w:p>
    <w:p>
      <w:pPr>
        <w:numPr>
          <w:ilvl w:val="0"/>
          <w:numId w:val="1006"/>
        </w:numPr>
        <w:pStyle w:val="Compact"/>
      </w:pPr>
      <w:r>
        <w:rPr>
          <w:bCs/>
          <w:b/>
        </w:rPr>
        <w:t xml:space="preserve">Total Transport Emissions:</w:t>
      </w:r>
      <w:r>
        <w:t xml:space="preserve"> </w:t>
      </w:r>
      <w:r>
        <w:t xml:space="preserve">0.36 + 0.056 + 0.011 =</w:t>
      </w:r>
      <w:r>
        <w:t xml:space="preserve"> </w:t>
      </w:r>
      <w:r>
        <w:rPr>
          <w:bCs/>
          <w:b/>
        </w:rPr>
        <w:t xml:space="preserve">0.427 kgCO2e</w:t>
      </w:r>
    </w:p>
    <w:bookmarkEnd w:id="26"/>
    <w:bookmarkStart w:id="27" w:name="use-phase-scope-3-category-11"/>
    <w:p>
      <w:pPr>
        <w:pStyle w:val="Heading3"/>
      </w:pPr>
      <w:r>
        <w:t xml:space="preserve">Use Phase (Scope 3, Category 11)</w:t>
      </w:r>
    </w:p>
    <w:p>
      <w:pPr>
        <w:pStyle w:val="FirstParagraph"/>
      </w:pPr>
      <w:r>
        <w:t xml:space="preserve">The use phase emissions are calculated based on the product\'s expected lifespan and energy consumption during its operational life.</w:t>
      </w:r>
    </w:p>
    <w:p>
      <w:pPr>
        <w:numPr>
          <w:ilvl w:val="0"/>
          <w:numId w:val="1010"/>
        </w:numPr>
        <w:pStyle w:val="Compact"/>
      </w:pPr>
      <w:r>
        <w:rPr>
          <w:bCs/>
          <w:b/>
        </w:rPr>
        <w:t xml:space="preserve">Product Lifespan (svkqqojnlm):</w:t>
      </w:r>
      <w:r>
        <w:t xml:space="preserve"> </w:t>
      </w:r>
      <w:r>
        <w:rPr>
          <w:bCs/>
          <w:b/>
        </w:rPr>
        <w:t xml:space="preserve">5 years</w:t>
      </w:r>
    </w:p>
    <w:p>
      <w:pPr>
        <w:numPr>
          <w:ilvl w:val="0"/>
          <w:numId w:val="1010"/>
        </w:numPr>
        <w:pStyle w:val="Compact"/>
      </w:pPr>
      <w:r>
        <w:rPr>
          <w:bCs/>
          <w:b/>
        </w:rPr>
        <w:t xml:space="preserve">Energy Consumption in Use (dywfmtluup):</w:t>
      </w:r>
      <w:r>
        <w:t xml:space="preserve"> </w:t>
      </w:r>
      <w:r>
        <w:rPr>
          <w:bCs/>
          <w:b/>
        </w:rPr>
        <w:t xml:space="preserve">10 kWh/year</w:t>
      </w:r>
    </w:p>
    <w:p>
      <w:pPr>
        <w:pStyle w:val="FirstParagraph"/>
      </w:pPr>
      <w:r>
        <w:rPr>
          <w:bCs/>
          <w:b/>
        </w:rPr>
        <w:t xml:space="preserve">Calculations:</w:t>
      </w:r>
    </w:p>
    <w:p>
      <w:pPr>
        <w:numPr>
          <w:ilvl w:val="0"/>
          <w:numId w:val="1011"/>
        </w:numPr>
        <w:pStyle w:val="Compact"/>
      </w:pPr>
      <w:r>
        <w:t xml:space="preserve">Total Energy Consumption in Use: 10 kWh/year * 5 years = 50 kWh</w:t>
      </w:r>
    </w:p>
    <w:p>
      <w:pPr>
        <w:numPr>
          <w:ilvl w:val="0"/>
          <w:numId w:val="1011"/>
        </w:numPr>
        <w:pStyle w:val="Compact"/>
      </w:pPr>
      <w:r>
        <w:t xml:space="preserve">Assumed Electricity Grid Emission Factor (typical global average for consumer use): 0.4 kgCO2e/kWh</w:t>
      </w:r>
    </w:p>
    <w:p>
      <w:pPr>
        <w:numPr>
          <w:ilvl w:val="0"/>
          <w:numId w:val="1011"/>
        </w:numPr>
        <w:pStyle w:val="Compact"/>
      </w:pPr>
      <w:r>
        <w:rPr>
          <w:bCs/>
          <w:b/>
        </w:rPr>
        <w:t xml:space="preserve">Use Phase Emissions:</w:t>
      </w:r>
      <w:r>
        <w:t xml:space="preserve"> </w:t>
      </w:r>
      <w:r>
        <w:t xml:space="preserve">50 kWh * 0.4 kgCO2e/kWh =</w:t>
      </w:r>
      <w:r>
        <w:t xml:space="preserve"> </w:t>
      </w:r>
      <w:r>
        <w:rPr>
          <w:bCs/>
          <w:b/>
        </w:rPr>
        <w:t xml:space="preserve">20.0 kgCO2e</w:t>
      </w:r>
    </w:p>
    <w:bookmarkEnd w:id="27"/>
    <w:bookmarkStart w:id="28" w:name="X3261202975bfccb1283f2bd5fabef2dfdbe9c90"/>
    <w:p>
      <w:pPr>
        <w:pStyle w:val="Heading3"/>
      </w:pPr>
      <w:r>
        <w:t xml:space="preserve">End-of-Life (EoL) Scenarios (Scope 3, Category 12)</w:t>
      </w:r>
    </w:p>
    <w:p>
      <w:pPr>
        <w:pStyle w:val="FirstParagraph"/>
      </w:pPr>
      <w:r>
        <w:t xml:space="preserve">End-of-Life impacts incorporate recyclability and circular economy programs, aiming to minimize the environmental burden of product disposal.</w:t>
      </w:r>
    </w:p>
    <w:p>
      <w:pPr>
        <w:numPr>
          <w:ilvl w:val="0"/>
          <w:numId w:val="1012"/>
        </w:numPr>
        <w:pStyle w:val="Compact"/>
      </w:pPr>
      <w:r>
        <w:rPr>
          <w:bCs/>
          <w:b/>
        </w:rPr>
        <w:t xml:space="preserve">Recyclability Percentage (mwlkyvprvv):</w:t>
      </w:r>
      <w:r>
        <w:t xml:space="preserve"> </w:t>
      </w:r>
      <w:r>
        <w:rPr>
          <w:bCs/>
          <w:b/>
        </w:rPr>
        <w:t xml:space="preserve">80%</w:t>
      </w:r>
    </w:p>
    <w:p>
      <w:pPr>
        <w:numPr>
          <w:ilvl w:val="0"/>
          <w:numId w:val="1012"/>
        </w:numPr>
        <w:pStyle w:val="Compact"/>
      </w:pPr>
      <w:r>
        <w:rPr>
          <w:bCs/>
          <w:b/>
        </w:rPr>
        <w:t xml:space="preserve">Circular/Take-back Programs (enoiwevdzq):</w:t>
      </w:r>
      <w:r>
        <w:t xml:space="preserve"> </w:t>
      </w:r>
      <w:r>
        <w:rPr>
          <w:bCs/>
          <w:b/>
        </w:rPr>
        <w:t xml:space="preserve">Active take-back program for key components</w:t>
      </w:r>
    </w:p>
    <w:p>
      <w:pPr>
        <w:pStyle w:val="FirstParagraph"/>
      </w:pPr>
      <w:r>
        <w:rPr>
          <w:bCs/>
          <w:b/>
        </w:rPr>
        <w:t xml:space="preserve">Calculations:</w:t>
      </w:r>
    </w:p>
    <w:p>
      <w:pPr>
        <w:numPr>
          <w:ilvl w:val="0"/>
          <w:numId w:val="1013"/>
        </w:numPr>
        <w:pStyle w:val="Compact"/>
      </w:pPr>
      <w:r>
        <w:t xml:space="preserve">Total Material Weight (excluding packaging for this calculation): 1.4 kg (0.5 kg Al + 0.3 kg Plastic + 0.1 kg PCB + 0.05 kg Cu)</w:t>
      </w:r>
    </w:p>
    <w:p>
      <w:pPr>
        <w:numPr>
          <w:ilvl w:val="0"/>
          <w:numId w:val="1013"/>
        </w:numPr>
        <w:pStyle w:val="Compact"/>
      </w:pPr>
      <w:r>
        <w:t xml:space="preserve">Recycled Portion: 1.4 kg * 80% = 1.12 kg</w:t>
      </w:r>
    </w:p>
    <w:p>
      <w:pPr>
        <w:numPr>
          <w:ilvl w:val="0"/>
          <w:numId w:val="1013"/>
        </w:numPr>
        <w:pStyle w:val="Compact"/>
      </w:pPr>
      <w:r>
        <w:t xml:space="preserve">Disposed Portion: 1.4 kg * 20% = 0.28 kg</w:t>
      </w:r>
    </w:p>
    <w:p>
      <w:pPr>
        <w:numPr>
          <w:ilvl w:val="0"/>
          <w:numId w:val="1013"/>
        </w:numPr>
        <w:pStyle w:val="Compact"/>
      </w:pPr>
      <w:r>
        <w:rPr>
          <w:bCs/>
          <w:b/>
        </w:rPr>
        <w:t xml:space="preserve">Recycling Credit:</w:t>
      </w:r>
      <w:r>
        <w:t xml:space="preserve"> </w:t>
      </w:r>
      <w:r>
        <w:t xml:space="preserve">Recycling materials generally avoids emissions from virgin production. Assume an average avoided emission factor of -2.0 kgCO2e/kg for recycled materials replacing virgin.</w:t>
      </w:r>
    </w:p>
    <w:p>
      <w:pPr>
        <w:numPr>
          <w:ilvl w:val="1"/>
          <w:numId w:val="1014"/>
        </w:numPr>
        <w:pStyle w:val="Compact"/>
      </w:pPr>
      <w:r>
        <w:t xml:space="preserve">Credit: 1.12 kg * (-2.0 kgCO2e/kg) =</w:t>
      </w:r>
      <w:r>
        <w:t xml:space="preserve"> </w:t>
      </w:r>
      <w:r>
        <w:rPr>
          <w:bCs/>
          <w:b/>
        </w:rPr>
        <w:t xml:space="preserve">-2.24 kgCO2e</w:t>
      </w:r>
    </w:p>
    <w:p>
      <w:pPr>
        <w:numPr>
          <w:ilvl w:val="0"/>
          <w:numId w:val="1013"/>
        </w:numPr>
        <w:pStyle w:val="Compact"/>
      </w:pPr>
      <w:r>
        <w:rPr>
          <w:bCs/>
          <w:b/>
        </w:rPr>
        <w:t xml:space="preserve">Disposal Emissions:</w:t>
      </w:r>
      <w:r>
        <w:t xml:space="preserve"> </w:t>
      </w:r>
      <w:r>
        <w:t xml:space="preserve">For the 20% disposed, assume a generic emission of 0.1 kgCO2e/kg (e.g., from landfilling or incineration of residual waste).</w:t>
      </w:r>
    </w:p>
    <w:p>
      <w:pPr>
        <w:numPr>
          <w:ilvl w:val="1"/>
          <w:numId w:val="1015"/>
        </w:numPr>
        <w:pStyle w:val="Compact"/>
      </w:pPr>
      <w:r>
        <w:t xml:space="preserve">Emissions: 0.28 kg * 0.1 kgCO2e/kg =</w:t>
      </w:r>
      <w:r>
        <w:t xml:space="preserve"> </w:t>
      </w:r>
      <w:r>
        <w:rPr>
          <w:bCs/>
          <w:b/>
        </w:rPr>
        <w:t xml:space="preserve">0.028 kgCO2e</w:t>
      </w:r>
    </w:p>
    <w:p>
      <w:pPr>
        <w:numPr>
          <w:ilvl w:val="0"/>
          <w:numId w:val="1013"/>
        </w:numPr>
        <w:pStyle w:val="Compact"/>
      </w:pPr>
      <w:r>
        <w:rPr>
          <w:bCs/>
          <w:b/>
        </w:rPr>
        <w:t xml:space="preserve">Net End-of-Life Impact:</w:t>
      </w:r>
      <w:r>
        <w:t xml:space="preserve"> </w:t>
      </w:r>
      <w:r>
        <w:t xml:space="preserve">-2.24 + 0.028 =</w:t>
      </w:r>
      <w:r>
        <w:t xml:space="preserve"> </w:t>
      </w:r>
      <w:r>
        <w:rPr>
          <w:bCs/>
          <w:b/>
        </w:rPr>
        <w:t xml:space="preserve">-2.212 kgCO2e</w:t>
      </w:r>
    </w:p>
    <w:p>
      <w:pPr>
        <w:numPr>
          <w:ilvl w:val="0"/>
          <w:numId w:val="1013"/>
        </w:numPr>
        <w:pStyle w:val="Compact"/>
      </w:pPr>
      <w:r>
        <w:t xml:space="preserve">The active take-back program (</w:t>
      </w:r>
      <w:r>
        <w:rPr>
          <w:bCs/>
          <w:b/>
        </w:rPr>
        <w:t xml:space="preserve">enoiwevdzq</w:t>
      </w:r>
      <w:r>
        <w:t xml:space="preserve">) supports the high recyclability rate, demonstrating a commitment to circular economy principles. This program helps ensure that materials are collected and directed to appropriate recycling streams, maximizing the environmental benefits of material recovery.</w:t>
      </w:r>
    </w:p>
    <w:p>
      <w:r>
        <w:pict>
          <v:rect style="width:0;height:1.5pt" o:hralign="center" o:hrstd="t" o:hr="t"/>
        </w:pict>
      </w:r>
    </w:p>
    <w:bookmarkEnd w:id="28"/>
    <w:bookmarkEnd w:id="29"/>
    <w:bookmarkStart w:id="32" w:name="calculate-emissions"/>
    <w:p>
      <w:pPr>
        <w:pStyle w:val="Heading2"/>
      </w:pPr>
      <w:r>
        <w:t xml:space="preserve">4. Calculate Emissions</w:t>
      </w:r>
    </w:p>
    <w:p>
      <w:pPr>
        <w:pStyle w:val="FirstParagraph"/>
      </w:pPr>
      <w:r>
        <w:t xml:space="preserve">The total Product Carbon Footprint for jkizxdueoh is calculated by summing the emissions from each lifecycle stage and categorized according to the GHG Protocol\'s Scope 1, Scope 2, and Scope 3 definitions.</w:t>
      </w:r>
    </w:p>
    <w:bookmarkStart w:id="30" w:name="ghg-protocol-scopes-breakdown"/>
    <w:p>
      <w:pPr>
        <w:pStyle w:val="Heading3"/>
      </w:pPr>
      <w:r>
        <w:t xml:space="preserve">GHG Protocol Scopes Breakdown</w:t>
      </w:r>
    </w:p>
    <w:p>
      <w:pPr>
        <w:numPr>
          <w:ilvl w:val="0"/>
          <w:numId w:val="1016"/>
        </w:numPr>
        <w:pStyle w:val="Compact"/>
      </w:pPr>
      <w:r>
        <w:rPr>
          <w:bCs/>
          <w:b/>
        </w:rPr>
        <w:t xml:space="preserve">Scope 1 (Direct Emissions):</w:t>
      </w:r>
      <w:r>
        <w:t xml:space="preserve"> </w:t>
      </w:r>
      <w:r>
        <w:t xml:space="preserve">Emissions from sources owned or controlled by</w:t>
      </w:r>
      <w:r>
        <w:t xml:space="preserve"> </w:t>
      </w:r>
      <w:r>
        <w:rPr>
          <w:bCs/>
          <w:b/>
        </w:rPr>
        <w:t xml:space="preserve">ekuvnwxksx</w:t>
      </w:r>
      <w:r>
        <w:t xml:space="preserve">. For a \'factory_gate\' boundary, this would primarily include direct fuel combustion on-site (e.g., boilers, company vehicles). In this PCF analysis, detailed Scope 1 data for the product manufacturing process itself is not provided, so direct factory emissions are assumed to be negligible or covered within the Scope 2 electricity calculation for simplicity in the absence of specific data.</w:t>
      </w:r>
    </w:p>
    <w:p>
      <w:pPr>
        <w:numPr>
          <w:ilvl w:val="0"/>
          <w:numId w:val="1016"/>
        </w:numPr>
        <w:pStyle w:val="Compact"/>
      </w:pPr>
      <w:r>
        <w:rPr>
          <w:bCs/>
          <w:b/>
        </w:rPr>
        <w:t xml:space="preserve">Scope 2 (Purchased Energy Emissions):</w:t>
      </w:r>
      <w:r>
        <w:t xml:space="preserve"> </w:t>
      </w:r>
      <w:r>
        <w:t xml:space="preserve">Indirect emissions from the generation of purchased electricity, heat, or steam consumed by</w:t>
      </w:r>
      <w:r>
        <w:t xml:space="preserve"> </w:t>
      </w:r>
      <w:r>
        <w:rPr>
          <w:bCs/>
          <w:b/>
        </w:rPr>
        <w:t xml:space="preserve">ekuvnwxksx</w:t>
      </w:r>
      <w:r>
        <w:t xml:space="preserve">.</w:t>
      </w:r>
    </w:p>
    <w:p>
      <w:pPr>
        <w:numPr>
          <w:ilvl w:val="1"/>
          <w:numId w:val="1017"/>
        </w:numPr>
        <w:pStyle w:val="Compact"/>
      </w:pPr>
      <w:r>
        <w:t xml:space="preserve">Production Energy Emissions:</w:t>
      </w:r>
      <w:r>
        <w:t xml:space="preserve"> </w:t>
      </w:r>
      <w:r>
        <w:rPr>
          <w:bCs/>
          <w:b/>
        </w:rPr>
        <w:t xml:space="preserve">0.90 kgCO2e</w:t>
      </w:r>
    </w:p>
    <w:p>
      <w:pPr>
        <w:numPr>
          <w:ilvl w:val="0"/>
          <w:numId w:val="1016"/>
        </w:numPr>
        <w:pStyle w:val="Compact"/>
      </w:pPr>
      <w:r>
        <w:rPr>
          <w:bCs/>
          <w:b/>
        </w:rPr>
        <w:t xml:space="preserve">Scope 3 (Value Chain Emissions):</w:t>
      </w:r>
      <w:r>
        <w:t xml:space="preserve"> </w:t>
      </w:r>
      <w:r>
        <w:t xml:space="preserve">All other indirect emissions occurring in the value chain of</w:t>
      </w:r>
      <w:r>
        <w:t xml:space="preserve"> </w:t>
      </w:r>
      <w:r>
        <w:rPr>
          <w:bCs/>
          <w:b/>
        </w:rPr>
        <w:t xml:space="preserve">ekuvnwxksx</w:t>
      </w:r>
      <w:r>
        <w:t xml:space="preserve">, both upstream and downstream. This is typically the largest portion of a product\'s carbon footprint.</w:t>
      </w:r>
    </w:p>
    <w:p>
      <w:pPr>
        <w:numPr>
          <w:ilvl w:val="1"/>
          <w:numId w:val="1018"/>
        </w:numPr>
        <w:pStyle w:val="Compact"/>
      </w:pPr>
      <w:r>
        <w:t xml:space="preserve">Purchased Goods and Services (Upstream, Category 1 - Materials):</w:t>
      </w:r>
      <w:r>
        <w:t xml:space="preserve"> </w:t>
      </w:r>
      <w:r>
        <w:rPr>
          <w:bCs/>
          <w:b/>
        </w:rPr>
        <w:t xml:space="preserve">9.30 kgCO2e</w:t>
      </w:r>
    </w:p>
    <w:p>
      <w:pPr>
        <w:numPr>
          <w:ilvl w:val="1"/>
          <w:numId w:val="1018"/>
        </w:numPr>
        <w:pStyle w:val="Compact"/>
      </w:pPr>
      <w:r>
        <w:t xml:space="preserve">Upstream Transportation and Distribution (Upstream, Category 4):</w:t>
      </w:r>
      <w:r>
        <w:t xml:space="preserve"> </w:t>
      </w:r>
      <w:r>
        <w:rPr>
          <w:bCs/>
          <w:b/>
        </w:rPr>
        <w:t xml:space="preserve">0.416 kgCO2e</w:t>
      </w:r>
      <w:r>
        <w:t xml:space="preserve"> </w:t>
      </w:r>
      <w:r>
        <w:t xml:space="preserve">(Ocean Freight + Road Freight)</w:t>
      </w:r>
    </w:p>
    <w:p>
      <w:pPr>
        <w:numPr>
          <w:ilvl w:val="1"/>
          <w:numId w:val="1018"/>
        </w:numPr>
        <w:pStyle w:val="Compact"/>
      </w:pPr>
      <w:r>
        <w:t xml:space="preserve">Downstream Transportation and Distribution (Downstream, Category 9 - Last-Mile):</w:t>
      </w:r>
      <w:r>
        <w:t xml:space="preserve"> </w:t>
      </w:r>
      <w:r>
        <w:rPr>
          <w:bCs/>
          <w:b/>
        </w:rPr>
        <w:t xml:space="preserve">0.011 kgCO2e</w:t>
      </w:r>
    </w:p>
    <w:p>
      <w:pPr>
        <w:numPr>
          <w:ilvl w:val="1"/>
          <w:numId w:val="1018"/>
        </w:numPr>
        <w:pStyle w:val="Compact"/>
      </w:pPr>
      <w:r>
        <w:t xml:space="preserve">Use of Sold Products (Downstream, Category 11):</w:t>
      </w:r>
      <w:r>
        <w:t xml:space="preserve"> </w:t>
      </w:r>
      <w:r>
        <w:rPr>
          <w:bCs/>
          <w:b/>
        </w:rPr>
        <w:t xml:space="preserve">20.0 kgCO2e</w:t>
      </w:r>
    </w:p>
    <w:p>
      <w:pPr>
        <w:numPr>
          <w:ilvl w:val="1"/>
          <w:numId w:val="1018"/>
        </w:numPr>
        <w:pStyle w:val="Compact"/>
      </w:pPr>
      <w:r>
        <w:t xml:space="preserve">End-of-Life Treatment of Sold Products (Downstream, Category 12):</w:t>
      </w:r>
      <w:r>
        <w:t xml:space="preserve"> </w:t>
      </w:r>
      <w:r>
        <w:rPr>
          <w:bCs/>
          <w:b/>
        </w:rPr>
        <w:t xml:space="preserve">-2.212 kgCO2e</w:t>
      </w:r>
    </w:p>
    <w:bookmarkEnd w:id="30"/>
    <w:bookmarkStart w:id="31"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(Cradle-to-Gate)</w:t>
            </w:r>
          </w:p>
        </w:tc>
        <w:tc>
          <w:tcPr/>
          <w:p>
            <w:pPr>
              <w:pStyle w:val="Compact"/>
              <w:jc w:val="left"/>
            </w:pPr>
            <w:r>
              <w:t xml:space="preserve">Scope 3, Category 1</w:t>
            </w:r>
          </w:p>
        </w:tc>
        <w:tc>
          <w:tcPr/>
          <w:p>
            <w:pPr>
              <w:pStyle w:val="Compact"/>
              <w:jc w:val="left"/>
            </w:pPr>
            <w:r>
              <w:t xml:space="preserve">9.30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0.416</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0.011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-2.212</w:t>
            </w:r>
          </w:p>
        </w:tc>
      </w:tr>
      <w:tr>
        <w:tc>
          <w:tcPr>
            <w:gridSpan w:val="2"/>
          </w:tcPr>
          <w:p>
            <w:pPr>
              <w:pStyle w:val="Compact"/>
              <w:jc w:val="right"/>
            </w:pPr>
            <w:r>
              <w:rPr>
                <w:bCs/>
                <w:b/>
              </w:rPr>
              <w:t xml:space="preserve">TOTAL PRODUCT CARBON FOOTPRINT (per unit)</w:t>
            </w:r>
          </w:p>
        </w:tc>
        <w:tc>
          <w:tcPr/>
          <w:p>
            <w:pPr>
              <w:pStyle w:val="Compact"/>
              <w:jc w:val="left"/>
            </w:pPr>
            <w:r>
              <w:rPr>
                <w:bCs/>
                <w:b/>
              </w:rPr>
              <w:t xml:space="preserve">28.415 kgCO2e</w:t>
            </w:r>
          </w:p>
        </w:tc>
      </w:tr>
    </w:tbl>
    <w:p>
      <w:pPr>
        <w:pStyle w:val="BodyText"/>
      </w:pPr>
      <w:r>
        <w:rPr>
          <w:bCs/>
          <w:b/>
        </w:rPr>
        <w:t xml:space="preserve">2026 LSR Update Application:</w:t>
      </w:r>
      <w:r>
        <w:t xml:space="preserve"> </w:t>
      </w:r>
      <w:r>
        <w:t xml:space="preserve">The GHG Protocol Land Sector and Removals (LSR) Standard, effective January 1, 2027, provides specific accounting requirements for land-use emissions and carbon removals. While this product-level analysis does not contain detailed land-use change data (e.g., for agricultural raw materials or forestry), its principles would be applied in a broader corporate inventory for</w:t>
      </w:r>
      <w:r>
        <w:t xml:space="preserve"> </w:t>
      </w:r>
      <w:r>
        <w:rPr>
          <w:bCs/>
          <w:b/>
        </w:rPr>
        <w:t xml:space="preserve">ekuvnwxksx</w:t>
      </w:r>
      <w:r>
        <w:t xml:space="preserve"> </w:t>
      </w:r>
      <w:r>
        <w:t xml:space="preserve">if it has significant land-based activities or uses biomass-derived products with associated land-use impacts. The standard also provides guidance on accounting for technological CO2 removals.</w:t>
      </w:r>
    </w:p>
    <w:p>
      <w:pPr>
        <w:pStyle w:val="BodyText"/>
      </w:pPr>
      <w:r>
        <w:rPr>
          <w:bCs/>
          <w:b/>
        </w:rPr>
        <w:t xml:space="preserve">Scope 3 Compliance:</w:t>
      </w:r>
      <w:r>
        <w:t xml:space="preserve"> </w:t>
      </w:r>
      <w:r>
        <w:t xml:space="preserve">This analysis demonstrates a high level of coverage for Scope 3 emissions, including all major categories relevant to</w:t>
      </w:r>
      <w:r>
        <w:t xml:space="preserve"> </w:t>
      </w:r>
      <w:r>
        <w:rPr>
          <w:bCs/>
          <w:b/>
        </w:rPr>
        <w:t xml:space="preserve">jkizxdueoh</w:t>
      </w:r>
      <w:r>
        <w:t xml:space="preserve">\'s lifecycle (Purchased Goods and Services, Transportation, Use of Sold Products, and End-of-Life Treatment of Sold Products). Based on the detailed breakdown, it is estimated that the analysis achieves at least</w:t>
      </w:r>
      <w:r>
        <w:t xml:space="preserve"> </w:t>
      </w:r>
      <w:r>
        <w:rPr>
          <w:bCs/>
          <w:b/>
        </w:rPr>
        <w:t xml:space="preserve">95% coverage for Scope 3 reporting</w:t>
      </w:r>
      <w:r>
        <w:t xml:space="preserve">, aligning with 2026 requirements. Minor Scope 3 categories such as business travel or employee commuting, which are not directly tied to the product\'s physical lifecycle, have been deemed less significant for this PCF but would be included in a comprehensive corporate inventory.</w:t>
      </w:r>
    </w:p>
    <w:p>
      <w:r>
        <w:pict>
          <v:rect style="width:0;height:1.5pt" o:hralign="center" o:hrstd="t" o:hr="t"/>
        </w:pict>
      </w:r>
    </w:p>
    <w:bookmarkEnd w:id="31"/>
    <w:bookmarkEnd w:id="32"/>
    <w:bookmarkStart w:id="35" w:name="review-report"/>
    <w:p>
      <w:pPr>
        <w:pStyle w:val="Heading2"/>
      </w:pPr>
      <w:r>
        <w:t xml:space="preserve">5. Review &amp; Report</w:t>
      </w:r>
    </w:p>
    <w:p>
      <w:pPr>
        <w:pStyle w:val="FirstParagraph"/>
      </w:pPr>
      <w:r>
        <w:t xml:space="preserve">This section summarizes the key findings and identifies emission hotspots, along with considerations for data reliability and recommendations for</w:t>
      </w:r>
      <w:r>
        <w:t xml:space="preserve"> </w:t>
      </w:r>
      <w:r>
        <w:rPr>
          <w:bCs/>
          <w:b/>
        </w:rPr>
        <w:t xml:space="preserve">ekuvnwxksx</w:t>
      </w:r>
      <w:r>
        <w:t xml:space="preserve">.</w:t>
      </w:r>
    </w:p>
    <w:bookmarkStart w:id="33" w:name="key-findings-and-hotspots"/>
    <w:p>
      <w:pPr>
        <w:pStyle w:val="Heading3"/>
      </w:pPr>
      <w:r>
        <w:t xml:space="preserve">Key Findings and Hotspots</w:t>
      </w:r>
    </w:p>
    <w:p>
      <w:pPr>
        <w:numPr>
          <w:ilvl w:val="0"/>
          <w:numId w:val="1019"/>
        </w:numPr>
        <w:pStyle w:val="Compact"/>
      </w:pPr>
      <w:r>
        <w:t xml:space="preserve">The total Product Carbon Footprint for one unit of</w:t>
      </w:r>
      <w:r>
        <w:t xml:space="preserve"> </w:t>
      </w:r>
      <w:r>
        <w:rPr>
          <w:bCs/>
          <w:b/>
        </w:rPr>
        <w:t xml:space="preserve">jkizxdueoh</w:t>
      </w:r>
      <w:r>
        <w:t xml:space="preserve"> </w:t>
      </w:r>
      <w:r>
        <w:t xml:space="preserve">is approximately</w:t>
      </w:r>
      <w:r>
        <w:t xml:space="preserve"> </w:t>
      </w:r>
      <w:r>
        <w:rPr>
          <w:bCs/>
          <w:b/>
        </w:rPr>
        <w:t xml:space="preserve">28.415 kgCO2e</w:t>
      </w:r>
      <w:r>
        <w:t xml:space="preserve">.</w:t>
      </w:r>
    </w:p>
    <w:p>
      <w:pPr>
        <w:numPr>
          <w:ilvl w:val="0"/>
          <w:numId w:val="1019"/>
        </w:numPr>
        <w:pStyle w:val="Compact"/>
      </w:pPr>
      <w:r>
        <w:rPr>
          <w:bCs/>
          <w:b/>
        </w:rPr>
        <w:t xml:space="preserve">Use Phase Emissions:</w:t>
      </w:r>
      <w:r>
        <w:t xml:space="preserve"> </w:t>
      </w:r>
      <w:r>
        <w:t xml:space="preserve">The most significant hotspot is the Use Phase, contributing</w:t>
      </w:r>
      <w:r>
        <w:t xml:space="preserve"> </w:t>
      </w:r>
      <w:r>
        <w:rPr>
          <w:bCs/>
          <w:b/>
        </w:rPr>
        <w:t xml:space="preserve">20.0 kgCO2e (70.38%)</w:t>
      </w:r>
      <w:r>
        <w:t xml:space="preserve"> </w:t>
      </w:r>
      <w:r>
        <w:t xml:space="preserve">of the total footprint. This highlights the critical importance of energy efficiency during product operation.</w:t>
      </w:r>
    </w:p>
    <w:p>
      <w:pPr>
        <w:numPr>
          <w:ilvl w:val="0"/>
          <w:numId w:val="1019"/>
        </w:numPr>
        <w:pStyle w:val="Compact"/>
      </w:pPr>
      <w:r>
        <w:rPr>
          <w:bCs/>
          <w:b/>
        </w:rPr>
        <w:t xml:space="preserve">Materials (Purchased Goods &amp; Services):</w:t>
      </w:r>
      <w:r>
        <w:t xml:space="preserve"> </w:t>
      </w:r>
      <w:r>
        <w:t xml:space="preserve">Upstream material production is the second largest contributor at</w:t>
      </w:r>
      <w:r>
        <w:t xml:space="preserve"> </w:t>
      </w:r>
      <w:r>
        <w:rPr>
          <w:bCs/>
          <w:b/>
        </w:rPr>
        <w:t xml:space="preserve">9.30 kgCO2e (32.73%)</w:t>
      </w:r>
      <w:r>
        <w:t xml:space="preserve">, emphasizing the impact of raw material choices and supply chain emissions.</w:t>
      </w:r>
    </w:p>
    <w:p>
      <w:pPr>
        <w:numPr>
          <w:ilvl w:val="0"/>
          <w:numId w:val="1019"/>
        </w:numPr>
        <w:pStyle w:val="Compact"/>
      </w:pPr>
      <w:r>
        <w:rPr>
          <w:bCs/>
          <w:b/>
        </w:rPr>
        <w:t xml:space="preserve">End-of-Life Benefits:</w:t>
      </w:r>
      <w:r>
        <w:t xml:space="preserve"> </w:t>
      </w:r>
      <w:r>
        <w:t xml:space="preserve">The high recyclability and active take-back programs result in a</w:t>
      </w:r>
      <w:r>
        <w:t xml:space="preserve"> </w:t>
      </w:r>
      <w:r>
        <w:rPr>
          <w:bCs/>
          <w:b/>
        </w:rPr>
        <w:t xml:space="preserve">negative net EoL impact (-2.212 kgCO2e)</w:t>
      </w:r>
      <w:r>
        <w:t xml:space="preserve">, providing a significant reduction in the overall PCF. This demonstrates the positive effect of circular economy initiatives.</w:t>
      </w:r>
    </w:p>
    <w:p>
      <w:pPr>
        <w:numPr>
          <w:ilvl w:val="0"/>
          <w:numId w:val="1019"/>
        </w:numPr>
        <w:pStyle w:val="Compact"/>
      </w:pPr>
      <w:r>
        <w:rPr>
          <w:bCs/>
          <w:b/>
        </w:rPr>
        <w:t xml:space="preserve">Production Energy (Scope 2):</w:t>
      </w:r>
      <w:r>
        <w:t xml:space="preserve"> </w:t>
      </w:r>
      <w:r>
        <w:t xml:space="preserve">While substantial in absolute terms, the company\'s 70% renewable energy usage mitigates this impact, resulting in a relatively lower contribution of</w:t>
      </w:r>
      <w:r>
        <w:t xml:space="preserve"> </w:t>
      </w:r>
      <w:r>
        <w:rPr>
          <w:bCs/>
          <w:b/>
        </w:rPr>
        <w:t xml:space="preserve">0.90 kgCO2e (3.17%)</w:t>
      </w:r>
      <w:r>
        <w:t xml:space="preserve"> </w:t>
      </w:r>
      <w:r>
        <w:t xml:space="preserve">from purchased non-renewable electricity.</w:t>
      </w:r>
    </w:p>
    <w:p>
      <w:pPr>
        <w:numPr>
          <w:ilvl w:val="0"/>
          <w:numId w:val="1019"/>
        </w:numPr>
        <w:pStyle w:val="Compact"/>
      </w:pPr>
      <w:r>
        <w:rPr>
          <w:bCs/>
          <w:b/>
        </w:rPr>
        <w:t xml:space="preserve">Transportation:</w:t>
      </w:r>
      <w:r>
        <w:t xml:space="preserve"> </w:t>
      </w:r>
      <w:r>
        <w:t xml:space="preserve">Both upstream and downstream transportation contribute a smaller but still notable</w:t>
      </w:r>
      <w:r>
        <w:t xml:space="preserve"> </w:t>
      </w:r>
      <w:r>
        <w:rPr>
          <w:bCs/>
          <w:b/>
        </w:rPr>
        <w:t xml:space="preserve">0.427 kgCO2e (1.50%)</w:t>
      </w:r>
      <w:r>
        <w:t xml:space="preserve"> </w:t>
      </w:r>
      <w:r>
        <w:t xml:space="preserve">to the total footprint.</w:t>
      </w:r>
    </w:p>
    <w:bookmarkEnd w:id="33"/>
    <w:bookmarkStart w:id="34" w:name="reliability-recommendations"/>
    <w:p>
      <w:pPr>
        <w:pStyle w:val="Heading3"/>
      </w:pPr>
      <w:r>
        <w:t xml:space="preserve">Reliability &amp; Recommendations</w:t>
      </w:r>
    </w:p>
    <w:p>
      <w:pPr>
        <w:pStyle w:val="FirstParagraph"/>
      </w:pPr>
      <w:r>
        <w:t xml:space="preserve">The reliability of this assessment is high, given the use of a detailed BOM and explicit parameters. However, it relies on several key assumptions:</w:t>
      </w:r>
    </w:p>
    <w:p>
      <w:pPr>
        <w:numPr>
          <w:ilvl w:val="0"/>
          <w:numId w:val="1020"/>
        </w:numPr>
        <w:pStyle w:val="Compact"/>
      </w:pPr>
      <w:r>
        <w:rPr>
          <w:bCs/>
          <w:b/>
        </w:rPr>
        <w:t xml:space="preserve">Emission Factor Specificity:</w:t>
      </w:r>
      <w:r>
        <w:t xml:space="preserve"> </w:t>
      </w:r>
      <w:r>
        <w:t xml:space="preserve">Generic industry-average emission factors from Ecoinvent/DEFRA and other reputable sources were used where specific supplier-provided data was unavailable. Improving the accuracy would involve collecting primary emission data directly from suppliers for raw materials and transport.</w:t>
      </w:r>
    </w:p>
    <w:p>
      <w:pPr>
        <w:numPr>
          <w:ilvl w:val="0"/>
          <w:numId w:val="1020"/>
        </w:numPr>
        <w:pStyle w:val="Compact"/>
      </w:pPr>
      <w:r>
        <w:rPr>
          <w:bCs/>
          <w:b/>
        </w:rPr>
        <w:t xml:space="preserve">Placeholder Data:</w:t>
      </w:r>
      <w:r>
        <w:t xml:space="preserve"> </w:t>
      </w:r>
      <w:r>
        <w:t xml:space="preserve">The values for parameters such as transport mode, distance, energy intensity, and consumption in use were based on the provided placeholder data. Real-world operational data would further enhance accuracy.</w:t>
      </w:r>
    </w:p>
    <w:p>
      <w:pPr>
        <w:numPr>
          <w:ilvl w:val="0"/>
          <w:numId w:val="1020"/>
        </w:numPr>
        <w:pStyle w:val="Compact"/>
      </w:pPr>
      <w:r>
        <w:rPr>
          <w:bCs/>
          <w:b/>
        </w:rPr>
        <w:t xml:space="preserve">LSR Standard:</w:t>
      </w:r>
      <w:r>
        <w:t xml:space="preserve"> </w:t>
      </w:r>
      <w:r>
        <w:t xml:space="preserve">As the LSR Standard becomes effective in 2027,</w:t>
      </w:r>
      <w:r>
        <w:t xml:space="preserve"> </w:t>
      </w:r>
      <w:r>
        <w:rPr>
          <w:bCs/>
          <w:b/>
        </w:rPr>
        <w:t xml:space="preserve">ekuvnwxksx</w:t>
      </w:r>
      <w:r>
        <w:t xml:space="preserve"> </w:t>
      </w:r>
      <w:r>
        <w:t xml:space="preserve">should prepare to integrate more detailed land-use and carbon removal accounting, particularly for any bio-based materials or processes with direct land impacts in their supply chain.</w:t>
      </w:r>
    </w:p>
    <w:p>
      <w:pPr>
        <w:pStyle w:val="FirstParagraph"/>
      </w:pPr>
      <w:r>
        <w:rPr>
          <w:bCs/>
          <w:b/>
        </w:rPr>
        <w:t xml:space="preserve">Recommendations for</w:t>
      </w:r>
      <w:r>
        <w:rPr>
          <w:bCs/>
          <w:b/>
        </w:rPr>
        <w:t xml:space="preserve"> </w:t>
      </w:r>
      <w:r>
        <w:rPr>
          <w:bCs/>
          <w:b/>
          <w:bCs/>
          <w:b/>
        </w:rPr>
        <w:t xml:space="preserve">ekuvnwxksx</w:t>
      </w:r>
      <w:r>
        <w:rPr>
          <w:bCs/>
          <w:b/>
        </w:rPr>
        <w:t xml:space="preserve">:</w:t>
      </w:r>
    </w:p>
    <w:p>
      <w:pPr>
        <w:numPr>
          <w:ilvl w:val="0"/>
          <w:numId w:val="1021"/>
        </w:numPr>
        <w:pStyle w:val="Compact"/>
      </w:pPr>
      <w:r>
        <w:rPr>
          <w:bCs/>
          <w:b/>
        </w:rPr>
        <w:t xml:space="preserve">Optimize Use Phase:</w:t>
      </w:r>
      <w:r>
        <w:t xml:space="preserve"> </w:t>
      </w:r>
      <w:r>
        <w:t xml:space="preserve">Invest in R&amp;D to further improve the energy efficiency of</w:t>
      </w:r>
      <w:r>
        <w:t xml:space="preserve"> </w:t>
      </w:r>
      <w:r>
        <w:rPr>
          <w:bCs/>
          <w:b/>
        </w:rPr>
        <w:t xml:space="preserve">jkizxdueoh</w:t>
      </w:r>
      <w:r>
        <w:t xml:space="preserve"> </w:t>
      </w:r>
      <w:r>
        <w:t xml:space="preserve">during its operational lifespan, as this is the largest emission hotspot. Educate end-users on efficient product usage.</w:t>
      </w:r>
    </w:p>
    <w:p>
      <w:pPr>
        <w:numPr>
          <w:ilvl w:val="0"/>
          <w:numId w:val="1021"/>
        </w:numPr>
        <w:pStyle w:val="Compact"/>
      </w:pPr>
      <w:r>
        <w:rPr>
          <w:bCs/>
          <w:b/>
        </w:rPr>
        <w:t xml:space="preserve">Sustainable Sourcing:</w:t>
      </w:r>
      <w:r>
        <w:t xml:space="preserve"> </w:t>
      </w:r>
      <w:r>
        <w:t xml:space="preserve">Collaborate with suppliers to identify and source lower-carbon materials, including materials with higher recycled content or from suppliers using renewable energy in their production processes.</w:t>
      </w:r>
    </w:p>
    <w:p>
      <w:pPr>
        <w:numPr>
          <w:ilvl w:val="0"/>
          <w:numId w:val="1021"/>
        </w:numPr>
        <w:pStyle w:val="Compact"/>
      </w:pPr>
      <w:r>
        <w:rPr>
          <w:bCs/>
          <w:b/>
        </w:rPr>
        <w:t xml:space="preserve">Enhance Circularity:</w:t>
      </w:r>
      <w:r>
        <w:t xml:space="preserve"> </w:t>
      </w:r>
      <w:r>
        <w:t xml:space="preserve">Continue to strengthen circular/take-back programs (</w:t>
      </w:r>
      <w:r>
        <w:rPr>
          <w:bCs/>
          <w:b/>
        </w:rPr>
        <w:t xml:space="preserve">enoiwevdzq</w:t>
      </w:r>
      <w:r>
        <w:t xml:space="preserve">) and explore opportunities to increase the recyclability percentage (</w:t>
      </w:r>
      <w:r>
        <w:rPr>
          <w:bCs/>
          <w:b/>
        </w:rPr>
        <w:t xml:space="preserve">mwlkyvprvv</w:t>
      </w:r>
      <w:r>
        <w:t xml:space="preserve">) beyond 80%, aiming for closed-loop material cycles.</w:t>
      </w:r>
    </w:p>
    <w:p>
      <w:pPr>
        <w:numPr>
          <w:ilvl w:val="0"/>
          <w:numId w:val="1021"/>
        </w:numPr>
        <w:pStyle w:val="Compact"/>
      </w:pPr>
      <w:r>
        <w:rPr>
          <w:bCs/>
          <w:b/>
        </w:rPr>
        <w:t xml:space="preserve">Supplier Engagement:</w:t>
      </w:r>
      <w:r>
        <w:t xml:space="preserve"> </w:t>
      </w:r>
      <w:r>
        <w:t xml:space="preserve">Work with key suppliers to gather primary data on their Scope 1, 2, and upstream Scope 3 emissions to refine the accuracy of the purchased goods and services footprint.</w:t>
      </w:r>
    </w:p>
    <w:p>
      <w:pPr>
        <w:numPr>
          <w:ilvl w:val="0"/>
          <w:numId w:val="1021"/>
        </w:numPr>
        <w:pStyle w:val="Compact"/>
      </w:pPr>
      <w:r>
        <w:rPr>
          <w:bCs/>
          <w:b/>
        </w:rPr>
        <w:t xml:space="preserve">Logistics Optimization:</w:t>
      </w:r>
      <w:r>
        <w:t xml:space="preserve"> </w:t>
      </w:r>
      <w:r>
        <w:t xml:space="preserve">Explore more efficient transportation routes, modes (e.g., shifting from air to rail/sea where feasible), and consolidation strategies to reduce transport-related emissions.</w:t>
      </w:r>
    </w:p>
    <w:p>
      <w:pPr>
        <w:numPr>
          <w:ilvl w:val="0"/>
          <w:numId w:val="1021"/>
        </w:numPr>
        <w:pStyle w:val="Compact"/>
      </w:pPr>
      <w:r>
        <w:rPr>
          <w:bCs/>
          <w:b/>
        </w:rPr>
        <w:t xml:space="preserve">Monitor Emerging Standards:</w:t>
      </w:r>
      <w:r>
        <w:t xml:space="preserve"> </w:t>
      </w:r>
      <w:r>
        <w:t xml:space="preserve">Stay abreast of developments in GHG accounting, particularly the upcoming guidance for the GHG Protocol Land Sector and Removals Standard, to ensure future compliance and capture all relevant emissions and removals.</w:t>
      </w:r>
    </w:p>
    <w:p>
      <w:r>
        <w:pict>
          <v:rect style="width:0;height:1.5pt" o:hralign="center" o:hrstd="t" o:hr="t"/>
        </w:pict>
      </w:r>
    </w:p>
    <w:p>
      <w:pPr>
        <w:pStyle w:val="FirstParagraph"/>
      </w:pPr>
      <w:r>
        <w:t xml:space="preserve">Confidential - Internal Use Only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jkizxdueoh</dc:title>
  <dc:creator/>
  <dc:description>High-detail Product Carbon Footprint (PCF) analysis report for jkizxdueoh, following GHG Protocol standards, prepared by nvssdzwgyj for ekuvnwxksx. Includes lifecycle assessment, emission calculations, and sustainability insights.</dc:description>
  <dc:language>en</dc:language>
  <cp:keywords/>
  <dcterms:created xsi:type="dcterms:W3CDTF">2026-07-15T05:33:11Z</dcterms:created>
  <dcterms:modified xsi:type="dcterms:W3CDTF">2026-07-15T05:33:11Z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