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izrnufelzv</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izrnufelzv</w:t>
      </w:r>
    </w:p>
    <w:p>
      <w:pPr>
        <w:pStyle w:val="BodyText"/>
      </w:pPr>
      <w:r>
        <w:rPr>
          <w:bCs/>
          <w:b/>
        </w:rPr>
        <w:t xml:space="preserve">Company:</w:t>
      </w:r>
      <w:r>
        <w:t xml:space="preserve"> </w:t>
      </w:r>
      <w:r>
        <w:t xml:space="preserve">hxezfnwumx</w:t>
      </w:r>
    </w:p>
    <w:p>
      <w:pPr>
        <w:pStyle w:val="BodyText"/>
      </w:pPr>
      <w:r>
        <w:rPr>
          <w:bCs/>
          <w:b/>
        </w:rPr>
        <w:t xml:space="preserve">Senior Sustainability Consultant:</w:t>
      </w:r>
      <w:r>
        <w:t xml:space="preserve"> </w:t>
      </w:r>
      <w:r>
        <w:t xml:space="preserve">lwphnszlzy</w:t>
      </w:r>
    </w:p>
    <w:p>
      <w:pPr>
        <w:pStyle w:val="BodyText"/>
      </w:pPr>
      <w:r>
        <w:rPr>
          <w:bCs/>
          <w:b/>
        </w:rPr>
        <w:t xml:space="preserve">Accounting Standard:</w:t>
      </w:r>
      <w:r>
        <w:t xml:space="preserve"> </w:t>
      </w:r>
      <w:r>
        <w:t xml:space="preserve">GHG Protocol</w:t>
      </w:r>
    </w:p>
    <w:p>
      <w:pPr>
        <w:pStyle w:val="BodyText"/>
      </w:pPr>
      <w:r>
        <w:rPr>
          <w:bCs/>
          <w:b/>
        </w:rPr>
        <w:t xml:space="preserve">Generated Date:</w:t>
      </w:r>
      <w:r>
        <w:t xml:space="preserve"> </w:t>
      </w:r>
      <w:r>
        <w:t xml:space="preserve">May 24, 2026</w:t>
      </w:r>
    </w:p>
    <w:p>
      <w:pPr>
        <w:pStyle w:val="BodyText"/>
      </w:pPr>
      <w:r>
        <w:t xml:space="preserve">Disclaimer: This report is generated based on available data and industry standards, including illustrative data where specific inputs were not provided in a parseable format. The calculations are based on the stated assumptions and publicly available emission factors, serving as an estimation of the product\'s environmental impact.</w:t>
      </w:r>
    </w:p>
    <w:bookmarkEnd w:id="20"/>
    <w:bookmarkStart w:id="21" w:name="X3c7db24a7b42d57823544a5e642a348e8987926"/>
    <w:p>
      <w:pPr>
        <w:pStyle w:val="Heading1"/>
      </w:pPr>
      <w:r>
        <w:t xml:space="preserve">Product Carbon Footprint (PCF) Analysis Report for izrnufelzv</w:t>
      </w:r>
    </w:p>
    <w:p>
      <w:pPr>
        <w:pStyle w:val="FirstParagraph"/>
      </w:pPr>
      <w:r>
        <w:rPr>
          <w:bCs/>
          <w:b/>
        </w:rPr>
        <w:t xml:space="preserve">Generated Date:</w:t>
      </w:r>
      <w:r>
        <w:t xml:space="preserve"> </w:t>
      </w:r>
      <w:r>
        <w:t xml:space="preserve">May 24, 2026</w:t>
      </w:r>
    </w:p>
    <w:p>
      <w:pPr>
        <w:pStyle w:val="BodyText"/>
      </w:pPr>
      <w:r>
        <w:rPr>
          <w:bCs/>
          <w:b/>
        </w:rPr>
        <w:t xml:space="preserve">Prepared by:</w:t>
      </w:r>
      <w:r>
        <w:t xml:space="preserve"> </w:t>
      </w:r>
      <w:r>
        <w:t xml:space="preserve">lwphnszlzy, Senior Sustainability Consultant</w:t>
      </w:r>
    </w:p>
    <w:p>
      <w:pPr>
        <w:pStyle w:val="BodyText"/>
      </w:pPr>
      <w:r>
        <w:rPr>
          <w:bCs/>
          <w:b/>
        </w:rPr>
        <w:t xml:space="preserve">For:</w:t>
      </w:r>
      <w:r>
        <w:t xml:space="preserve"> </w:t>
      </w:r>
      <w:r>
        <w:t xml:space="preserve">hxezfnwumx</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izrnufelzv</w:t>
      </w:r>
      <w:r>
        <w:t xml:space="preserve">, manufactured by</w:t>
      </w:r>
      <w:r>
        <w:t xml:space="preserve"> </w:t>
      </w:r>
      <w:r>
        <w:rPr>
          <w:bCs/>
          <w:b/>
        </w:rPr>
        <w:t xml:space="preserve">hxezfnwumx</w:t>
      </w:r>
      <w:r>
        <w:t xml:space="preserve">. The analysis follows the Greenhouse Gas (GHG) Protocol, incorporating the latest 2026 Land Sector and Removals (LSR) Standard updates and stringent Scope 3 reporting requirements. The objective is to quantify the total greenhouse gas emissions associated with the product across its lifecycle, from raw material acquisition to end-of-life, expressed in kilograms of carbon dioxide equivalent (kg CO2e). The total Product Carbon Footprint for one functional unit of izrnufelzv is estimated at</w:t>
      </w:r>
      <w:r>
        <w:t xml:space="preserve"> </w:t>
      </w:r>
      <w:r>
        <w:rPr>
          <w:bCs/>
          <w:b/>
        </w:rPr>
        <w:t xml:space="preserve">12.90 kg CO2e</w:t>
      </w:r>
      <w:r>
        <w:t xml:space="preserve">. Key emission hotspots have been identified in the Use Phase and Material Production, highlighting areas for targeted decarbonization efforts.</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The initial step in this PCF analysis involves defining the key parameters that frame the study:</w:t>
      </w:r>
    </w:p>
    <w:p>
      <w:pPr>
        <w:numPr>
          <w:ilvl w:val="0"/>
          <w:numId w:val="1001"/>
        </w:numPr>
        <w:pStyle w:val="Compact"/>
      </w:pPr>
      <w:r>
        <w:rPr>
          <w:bCs/>
          <w:b/>
        </w:rPr>
        <w:t xml:space="preserve">Functional Unit:</w:t>
      </w:r>
      <w:r>
        <w:t xml:space="preserve"> </w:t>
      </w:r>
      <w:r>
        <w:t xml:space="preserve">1.0 unit of izrnufelzv. This serves as the reference flow for all quantified inputs and outputs.</w:t>
      </w:r>
    </w:p>
    <w:p>
      <w:pPr>
        <w:numPr>
          <w:ilvl w:val="0"/>
          <w:numId w:val="1001"/>
        </w:numPr>
        <w:pStyle w:val="Compact"/>
      </w:pPr>
      <w:r>
        <w:rPr>
          <w:bCs/>
          <w:b/>
        </w:rPr>
        <w:t xml:space="preserve">System Boundary:</w:t>
      </w:r>
      <w:r>
        <w:t xml:space="preserve"> </w:t>
      </w:r>
      <w:r>
        <w:t xml:space="preserve">Cradle-to-Grave with a focus on the \'factory_gate\' for direct operational emissions. While the primary operational boundary for hxezfnwumx is \'factory_gate\', the analysis has been expanded to a cradle-to-grave perspective to fully capture the value chain emissions as required by the GHG Protocol for comprehensive Scope 3 reporting, including the Use Phase and End-of-Life scenarios.</w:t>
      </w:r>
    </w:p>
    <w:p>
      <w:pPr>
        <w:numPr>
          <w:ilvl w:val="0"/>
          <w:numId w:val="1001"/>
        </w:numPr>
        <w:pStyle w:val="Compact"/>
      </w:pPr>
      <w:r>
        <w:rPr>
          <w:bCs/>
          <w:b/>
        </w:rPr>
        <w:t xml:space="preserve">Geographic Scope:</w:t>
      </w:r>
      <w:r>
        <w:t xml:space="preserve"> </w:t>
      </w:r>
      <w:r>
        <w:t xml:space="preserve">Final Production Country: China; Supply Chain Focus: Europe Focused. This implies a mix of regional and global emission factors depending on the stage.</w:t>
      </w:r>
    </w:p>
    <w:p>
      <w:pPr>
        <w:numPr>
          <w:ilvl w:val="0"/>
          <w:numId w:val="1001"/>
        </w:numPr>
        <w:pStyle w:val="Compact"/>
      </w:pPr>
      <w:r>
        <w:rPr>
          <w:bCs/>
          <w:b/>
        </w:rPr>
        <w:t xml:space="preserve">Accounting Standard:</w:t>
      </w:r>
      <w:r>
        <w:t xml:space="preserve"> </w:t>
      </w:r>
      <w:r>
        <w:t xml:space="preserve">GHG Protocol. All emissions are categorized into Scope 1 (Direct Emissions), Scope 2 (Energy Indirect Emissions), and Scope 3 (Other Indirect Emissions) as per GHG Protocol Corporate Value Chain (Scope 3) Accounting and Reporting Standard.</w:t>
      </w:r>
    </w:p>
    <w:p>
      <w:pPr>
        <w:numPr>
          <w:ilvl w:val="0"/>
          <w:numId w:val="1001"/>
        </w:numPr>
        <w:pStyle w:val="Compact"/>
      </w:pPr>
      <w:r>
        <w:rPr>
          <w:bCs/>
          <w:b/>
        </w:rPr>
        <w:t xml:space="preserve">Allocation:</w:t>
      </w:r>
      <w:r>
        <w:t xml:space="preserve"> </w:t>
      </w:r>
      <w:r>
        <w:t xml:space="preserve">Mass-based allocation is applied where co-products or by-products occur, distributing environmental burdens proportionally to the mass of each output. For recycling, the "recycled content" approach is implicitly used in the material EFs, and avoided burdens are calculated for End-of-Life recycling.</w:t>
      </w:r>
    </w:p>
    <w:p>
      <w:r>
        <w:pict>
          <v:rect style="width:0;height:1.5pt" o:hralign="center" o:hrstd="t" o:hr="t"/>
        </w:pict>
      </w:r>
    </w:p>
    <w:bookmarkEnd w:id="23"/>
    <w:bookmarkStart w:id="29" w:name="X668a29dea6996859d52024a913312988ccfa3c9"/>
    <w:p>
      <w:pPr>
        <w:pStyle w:val="Heading2"/>
      </w:pPr>
      <w:r>
        <w:t xml:space="preserve">2. Map Lifecycle (LCI Inventory Stages) &amp; 3. Collect Data</w:t>
      </w:r>
    </w:p>
    <w:p>
      <w:pPr>
        <w:pStyle w:val="FirstParagraph"/>
      </w:pPr>
      <w:r>
        <w:t xml:space="preserve">The lifecycle of izrnufelzv is mapped through the following stages, with data collected from provided parameters and industry-standard emission factors. Due to the placeholder nature of parameters such as `ltsitqfq`, `nndmulwmhd`, `eupmggzrtz`, `jjrwkvewke`, `ezpfymdrpn`, `mpvimhfjux`, `eswtpzkihq`, and `rerwrugsxh`, illustrative data consistent with the specified format and reasonable industry averages have been utilized for calculation purposes.</w:t>
      </w:r>
    </w:p>
    <w:bookmarkStart w:id="24" w:name="X00276586af3598f1fc7866665f5f89534000ead"/>
    <w:p>
      <w:pPr>
        <w:pStyle w:val="Heading3"/>
      </w:pPr>
      <w:r>
        <w:t xml:space="preserve">Materials Acquisition &amp; Pre-processing (Scope 3, Category 1: Purchased Goods and Services)</w:t>
      </w:r>
    </w:p>
    <w:p>
      <w:pPr>
        <w:pStyle w:val="FirstParagraph"/>
      </w:pPr>
      <w:r>
        <w:t xml:space="preserve">The Detailed Bill of Materials (BOM), provided as parameter</w:t>
      </w:r>
      <w:r>
        <w:t xml:space="preserve"> </w:t>
      </w:r>
      <w:r>
        <w:rPr>
          <w:bCs/>
          <w:b/>
        </w:rPr>
        <w:t xml:space="preserve">ltsitqfq</w:t>
      </w:r>
      <w:r>
        <w:t xml:space="preserve">, forms the basis for material impact calculation. As the actual detailed BOM data was not provided in a parseable format, the following illustrative BOM data, adhering to the specified format (ID, Description, Category, Process, Qty, Unit, Emission Factor (kg CO2e/unit), Total Carbon (kg CO2e)), has been assumed for the analysis. Emission factors are drawn from publicly available industry sources (e.g., adapted from Ecoinvent/DEFRA equivalents).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PCFBOM001</w:t>
            </w:r>
          </w:p>
        </w:tc>
        <w:tc>
          <w:tcPr/>
          <w:p>
            <w:pPr>
              <w:pStyle w:val="Compact"/>
              <w:jc w:val="left"/>
            </w:pPr>
            <w:r>
              <w:t xml:space="preserve">ABS 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2.80</w:t>
            </w:r>
          </w:p>
        </w:tc>
        <w:tc>
          <w:tcPr/>
          <w:p>
            <w:pPr>
              <w:pStyle w:val="Compact"/>
              <w:jc w:val="left"/>
            </w:pPr>
            <w:r>
              <w:t xml:space="preserve">0.56</w:t>
            </w:r>
          </w:p>
        </w:tc>
      </w:tr>
      <w:tr>
        <w:tc>
          <w:tcPr/>
          <w:p>
            <w:pPr>
              <w:pStyle w:val="Compact"/>
              <w:jc w:val="left"/>
            </w:pPr>
            <w:r>
              <w:t xml:space="preserve">PCFBOM002</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3.00</w:t>
            </w:r>
          </w:p>
        </w:tc>
        <w:tc>
          <w:tcPr/>
          <w:p>
            <w:pPr>
              <w:pStyle w:val="Compact"/>
              <w:jc w:val="left"/>
            </w:pPr>
            <w:r>
              <w:t xml:space="preserve">0.15</w:t>
            </w:r>
          </w:p>
        </w:tc>
      </w:tr>
      <w:tr>
        <w:tc>
          <w:tcPr/>
          <w:p>
            <w:pPr>
              <w:pStyle w:val="Compact"/>
              <w:jc w:val="left"/>
            </w:pPr>
            <w:r>
              <w:t xml:space="preserve">PCFBOM003</w:t>
            </w:r>
          </w:p>
        </w:tc>
        <w:tc>
          <w:tcPr/>
          <w:p>
            <w:pPr>
              <w:pStyle w:val="Compact"/>
              <w:jc w:val="left"/>
            </w:pPr>
            <w:r>
              <w:t xml:space="preserve">PCB Assembly</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0.10</w:t>
            </w:r>
          </w:p>
        </w:tc>
        <w:tc>
          <w:tcPr/>
          <w:p>
            <w:pPr>
              <w:pStyle w:val="Compact"/>
              <w:jc w:val="left"/>
            </w:pPr>
            <w:r>
              <w:t xml:space="preserve">kg</w:t>
            </w:r>
          </w:p>
        </w:tc>
        <w:tc>
          <w:tcPr/>
          <w:p>
            <w:pPr>
              <w:pStyle w:val="Compact"/>
              <w:jc w:val="left"/>
            </w:pPr>
            <w:r>
              <w:t xml:space="preserve">15.00 (Illustrative)</w:t>
            </w:r>
          </w:p>
        </w:tc>
        <w:tc>
          <w:tcPr/>
          <w:p>
            <w:pPr>
              <w:pStyle w:val="Compact"/>
              <w:jc w:val="left"/>
            </w:pPr>
            <w:r>
              <w:t xml:space="preserve">1.50</w:t>
            </w:r>
          </w:p>
        </w:tc>
      </w:tr>
      <w:tr>
        <w:tc>
          <w:tcPr/>
          <w:p>
            <w:pPr>
              <w:pStyle w:val="Compact"/>
              <w:jc w:val="left"/>
            </w:pPr>
            <w:r>
              <w:t xml:space="preserve">PCFBOM004</w:t>
            </w:r>
          </w:p>
        </w:tc>
        <w:tc>
          <w:tcPr/>
          <w:p>
            <w:pPr>
              <w:pStyle w:val="Compact"/>
              <w:jc w:val="left"/>
            </w:pPr>
            <w:r>
              <w:t xml:space="preserve">Aluminum Heat Sink</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8.00</w:t>
            </w:r>
          </w:p>
        </w:tc>
        <w:tc>
          <w:tcPr/>
          <w:p>
            <w:pPr>
              <w:pStyle w:val="Compact"/>
              <w:jc w:val="left"/>
            </w:pPr>
            <w:r>
              <w:t xml:space="preserve">0.24</w:t>
            </w:r>
          </w:p>
        </w:tc>
      </w:tr>
      <w:tr>
        <w:tc>
          <w:tcPr/>
          <w:p>
            <w:pPr>
              <w:pStyle w:val="Compact"/>
              <w:jc w:val="left"/>
            </w:pPr>
            <w:r>
              <w:t xml:space="preserve">PCFBOM005</w:t>
            </w:r>
          </w:p>
        </w:tc>
        <w:tc>
          <w:tcPr/>
          <w:p>
            <w:pPr>
              <w:pStyle w:val="Compact"/>
              <w:jc w:val="left"/>
            </w:pPr>
            <w:r>
              <w:t xml:space="preserve">Lithium-ion Battery</w:t>
            </w:r>
          </w:p>
        </w:tc>
        <w:tc>
          <w:tcPr/>
          <w:p>
            <w:pPr>
              <w:pStyle w:val="Compact"/>
              <w:jc w:val="left"/>
            </w:pPr>
            <w:r>
              <w:t xml:space="preserve">Chemicals/Electronics</w:t>
            </w:r>
          </w:p>
        </w:tc>
        <w:tc>
          <w:tcPr/>
          <w:p>
            <w:pPr>
              <w:pStyle w:val="Compact"/>
              <w:jc w:val="left"/>
            </w:pPr>
            <w:r>
              <w:t xml:space="preserve">Manufacturing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7.23</w:t>
            </w:r>
          </w:p>
        </w:tc>
        <w:tc>
          <w:tcPr/>
          <w:p>
            <w:pPr>
              <w:pStyle w:val="Compact"/>
              <w:jc w:val="left"/>
            </w:pPr>
            <w:r>
              <w:t xml:space="preserve">0.58</w:t>
            </w:r>
          </w:p>
        </w:tc>
      </w:tr>
      <w:tr>
        <w:tc>
          <w:tcPr>
            <w:gridSpan w:val="7"/>
          </w:tcPr>
          <w:p>
            <w:pPr>
              <w:pStyle w:val="Compact"/>
              <w:jc w:val="right"/>
            </w:pPr>
            <w:r>
              <w:rPr>
                <w:bCs/>
                <w:b/>
              </w:rPr>
              <w:t xml:space="preserve">Total Material Footprint:</w:t>
            </w:r>
          </w:p>
        </w:tc>
        <w:tc>
          <w:tcPr/>
          <w:p>
            <w:pPr>
              <w:pStyle w:val="Compact"/>
              <w:jc w:val="left"/>
            </w:pPr>
            <w:r>
              <w:rPr>
                <w:bCs/>
                <w:b/>
              </w:rPr>
              <w:t xml:space="preserve">3.03 kg CO2e</w:t>
            </w:r>
          </w:p>
        </w:tc>
      </w:tr>
    </w:tbl>
    <w:bookmarkEnd w:id="24"/>
    <w:bookmarkStart w:id="25" w:name="Xd4c19533afd2433de7d11033138dbc932d72a90"/>
    <w:p>
      <w:pPr>
        <w:pStyle w:val="Heading3"/>
      </w:pPr>
      <w:r>
        <w:t xml:space="preserve">Manufacturing / Production (Scope 1, Scope 2, Scope 3)</w:t>
      </w:r>
    </w:p>
    <w:p>
      <w:pPr>
        <w:numPr>
          <w:ilvl w:val="0"/>
          <w:numId w:val="1002"/>
        </w:numPr>
        <w:pStyle w:val="Compact"/>
      </w:pPr>
      <w:r>
        <w:rPr>
          <w:bCs/>
          <w:b/>
        </w:rPr>
        <w:t xml:space="preserve">Production Country:</w:t>
      </w:r>
      <w:r>
        <w:t xml:space="preserve"> </w:t>
      </w:r>
      <w:r>
        <w:t xml:space="preserve">China.</w:t>
      </w:r>
    </w:p>
    <w:p>
      <w:pPr>
        <w:numPr>
          <w:ilvl w:val="0"/>
          <w:numId w:val="1002"/>
        </w:numPr>
        <w:pStyle w:val="Compact"/>
      </w:pPr>
      <w:r>
        <w:rPr>
          <w:bCs/>
          <w:b/>
        </w:rPr>
        <w:t xml:space="preserve">Energy Intensity (kWh/unit):</w:t>
      </w:r>
      <w:r>
        <w:t xml:space="preserve"> </w:t>
      </w:r>
      <w:r>
        <w:rPr>
          <w:bCs/>
          <w:b/>
        </w:rPr>
        <w:t xml:space="preserve">jjrwkvewke</w:t>
      </w:r>
      <w:r>
        <w:t xml:space="preserve"> </w:t>
      </w:r>
      <w:r>
        <w:t xml:space="preserve">(assumed 5 kWh/unit).</w:t>
      </w:r>
    </w:p>
    <w:p>
      <w:pPr>
        <w:numPr>
          <w:ilvl w:val="0"/>
          <w:numId w:val="1002"/>
        </w:numPr>
        <w:pStyle w:val="Compact"/>
      </w:pPr>
      <w:r>
        <w:rPr>
          <w:bCs/>
          <w:b/>
        </w:rPr>
        <w:t xml:space="preserve">Renewable Energy Usage:</w:t>
      </w:r>
      <w:r>
        <w:t xml:space="preserve"> </w:t>
      </w:r>
      <w:r>
        <w:rPr>
          <w:bCs/>
          <w:b/>
        </w:rPr>
        <w:t xml:space="preserve">eupmggzrtz</w:t>
      </w:r>
      <w:r>
        <w:t xml:space="preserve"> </w:t>
      </w:r>
      <w:r>
        <w:t xml:space="preserve">(assumed 30%).</w:t>
      </w:r>
    </w:p>
    <w:p>
      <w:pPr>
        <w:numPr>
          <w:ilvl w:val="0"/>
          <w:numId w:val="1002"/>
        </w:numPr>
        <w:pStyle w:val="Compact"/>
      </w:pPr>
      <w:r>
        <w:rPr>
          <w:bCs/>
          <w:b/>
        </w:rPr>
        <w:t xml:space="preserve">Grid Electricity Emission Factor (China):</w:t>
      </w:r>
      <w:r>
        <w:t xml:space="preserve"> </w:t>
      </w:r>
      <w:r>
        <w:t xml:space="preserve">0.61 kg CO2e/kWh (2025 predicted average).</w:t>
      </w:r>
    </w:p>
    <w:p>
      <w:pPr>
        <w:numPr>
          <w:ilvl w:val="0"/>
          <w:numId w:val="1002"/>
        </w:numPr>
        <w:pStyle w:val="Compact"/>
      </w:pPr>
      <w:r>
        <w:rPr>
          <w:bCs/>
          <w:b/>
        </w:rPr>
        <w:t xml:space="preserve">Scope 1 (Direct Emissions):</w:t>
      </w:r>
      <w:r>
        <w:t xml:space="preserve"> </w:t>
      </w:r>
      <w:r>
        <w:t xml:space="preserve">Assumed negligible or embedded in electricity generation for a typical electronics manufacturing plant for simplicity, as no specific direct combustion data was provided.</w:t>
      </w:r>
    </w:p>
    <w:p>
      <w:pPr>
        <w:numPr>
          <w:ilvl w:val="0"/>
          <w:numId w:val="1002"/>
        </w:numPr>
        <w:pStyle w:val="Compact"/>
      </w:pPr>
      <w:r>
        <w:rPr>
          <w:bCs/>
          <w:b/>
        </w:rPr>
        <w:t xml:space="preserve">Scope 2 (Purchased Electricity):</w:t>
      </w:r>
      <w:r>
        <w:t xml:space="preserve"> </w:t>
      </w:r>
      <w:r>
        <w:t xml:space="preserve">Emissions from electricity consumed during production.</w:t>
      </w:r>
    </w:p>
    <w:bookmarkEnd w:id="25"/>
    <w:bookmarkStart w:id="26" w:name="Xe8e38d1cca358f39a6904698bf3fbe4bea0fb7f"/>
    <w:p>
      <w:pPr>
        <w:pStyle w:val="Heading3"/>
      </w:pPr>
      <w:r>
        <w:t xml:space="preserve">Transportation (Scope 3, Category 4: Upstream Transportation &amp; Distribution; Category 9: Downstream Transportation &amp; Distribution)</w:t>
      </w:r>
    </w:p>
    <w:p>
      <w:pPr>
        <w:pStyle w:val="FirstParagraph"/>
      </w:pPr>
      <w:r>
        <w:t xml:space="preserve">Logistics data, including</w:t>
      </w:r>
      <w:r>
        <w:t xml:space="preserve"> </w:t>
      </w:r>
      <w:r>
        <w:rPr>
          <w:bCs/>
          <w:b/>
        </w:rPr>
        <w:t xml:space="preserve">Transport Mode</w:t>
      </w:r>
      <w:r>
        <w:t xml:space="preserve">,</w:t>
      </w:r>
      <w:r>
        <w:t xml:space="preserve"> </w:t>
      </w:r>
      <w:r>
        <w:rPr>
          <w:bCs/>
          <w:b/>
        </w:rPr>
        <w:t xml:space="preserve">Transport Distance (nndmulwmhd)</w:t>
      </w:r>
      <w:r>
        <w:t xml:space="preserve">, and</w:t>
      </w:r>
      <w:r>
        <w:t xml:space="preserve"> </w:t>
      </w:r>
      <w:r>
        <w:rPr>
          <w:bCs/>
          <w:b/>
        </w:rPr>
        <w:t xml:space="preserve">Last-Mile Delivery Channel (Delivery Type)</w:t>
      </w:r>
      <w:r>
        <w:t xml:space="preserve">, are incorporated. Illustrative assumptions were made for calculation as specific numerical values were not provided for the placeholder parameters.</w:t>
      </w:r>
    </w:p>
    <w:p>
      <w:pPr>
        <w:numPr>
          <w:ilvl w:val="0"/>
          <w:numId w:val="1003"/>
        </w:numPr>
        <w:pStyle w:val="Compact"/>
      </w:pPr>
      <w:r>
        <w:rPr>
          <w:bCs/>
          <w:b/>
        </w:rPr>
        <w:t xml:space="preserve">Transport Mode (Assumed):</w:t>
      </w:r>
      <w:r>
        <w:t xml:space="preserve"> </w:t>
      </w:r>
      <w:r>
        <w:t xml:space="preserve">Road Freight (Heavy Duty Truck) for primary transport. Road Freight (Light Commercial Vehicle) for last-mile.</w:t>
      </w:r>
    </w:p>
    <w:p>
      <w:pPr>
        <w:numPr>
          <w:ilvl w:val="0"/>
          <w:numId w:val="1003"/>
        </w:numPr>
        <w:pStyle w:val="Compact"/>
      </w:pPr>
      <w:r>
        <w:rPr>
          <w:bCs/>
          <w:b/>
        </w:rPr>
        <w:t xml:space="preserve">Transport Distance (Assumed for nndmulwmhd):</w:t>
      </w:r>
    </w:p>
    <w:p>
      <w:pPr>
        <w:numPr>
          <w:ilvl w:val="1"/>
          <w:numId w:val="1004"/>
        </w:numPr>
        <w:pStyle w:val="Compact"/>
      </w:pPr>
      <w:r>
        <w:t xml:space="preserve">Inbound Materials to China: 1500 km.</w:t>
      </w:r>
    </w:p>
    <w:p>
      <w:pPr>
        <w:numPr>
          <w:ilvl w:val="1"/>
          <w:numId w:val="1004"/>
        </w:numPr>
        <w:pStyle w:val="Compact"/>
      </w:pPr>
      <w:r>
        <w:t xml:space="preserve">Outbound Finished Product (China to Europe): 2000 km.</w:t>
      </w:r>
    </w:p>
    <w:p>
      <w:pPr>
        <w:numPr>
          <w:ilvl w:val="1"/>
          <w:numId w:val="1004"/>
        </w:numPr>
        <w:pStyle w:val="Compact"/>
      </w:pPr>
      <w:r>
        <w:t xml:space="preserve">Last-Mile Delivery (Assumed for Delivery Type): 100 km.</w:t>
      </w:r>
    </w:p>
    <w:p>
      <w:pPr>
        <w:numPr>
          <w:ilvl w:val="0"/>
          <w:numId w:val="1003"/>
        </w:numPr>
        <w:pStyle w:val="Compact"/>
      </w:pPr>
      <w:r>
        <w:rPr>
          <w:bCs/>
          <w:b/>
        </w:rPr>
        <w:t xml:space="preserve">Emission Factor (Road Freight - Heavy Duty Truck):</w:t>
      </w:r>
      <w:r>
        <w:t xml:space="preserve"> </w:t>
      </w:r>
      <w:r>
        <w:t xml:space="preserve">0.1 kg CO2e/tkm (general average).</w:t>
      </w:r>
    </w:p>
    <w:p>
      <w:pPr>
        <w:numPr>
          <w:ilvl w:val="0"/>
          <w:numId w:val="1003"/>
        </w:numPr>
        <w:pStyle w:val="Compact"/>
      </w:pPr>
      <w:r>
        <w:rPr>
          <w:bCs/>
          <w:b/>
        </w:rPr>
        <w:t xml:space="preserve">Emission Factor (Road Freight - Light Commercial Vehicle):</w:t>
      </w:r>
      <w:r>
        <w:t xml:space="preserve"> </w:t>
      </w:r>
      <w:r>
        <w:t xml:space="preserve">0.2 kg CO2e/tkm (conservative estimate for smaller/less efficient loads).</w:t>
      </w:r>
    </w:p>
    <w:p>
      <w:pPr>
        <w:numPr>
          <w:ilvl w:val="0"/>
          <w:numId w:val="1003"/>
        </w:numPr>
        <w:pStyle w:val="Compact"/>
      </w:pPr>
      <w:r>
        <w:rPr>
          <w:bCs/>
          <w:b/>
        </w:rPr>
        <w:t xml:space="preserve">Product Total Weight:</w:t>
      </w:r>
      <w:r>
        <w:t xml:space="preserve"> </w:t>
      </w:r>
      <w:r>
        <w:t xml:space="preserve">0.46 kg (sum of illustrative BOM item quantities).</w:t>
      </w:r>
    </w:p>
    <w:bookmarkEnd w:id="26"/>
    <w:bookmarkStart w:id="27" w:name="Xc8d47610e025d3b1fe367d676386ecee874efa3"/>
    <w:p>
      <w:pPr>
        <w:pStyle w:val="Heading3"/>
      </w:pPr>
      <w:r>
        <w:t xml:space="preserve">Use Phase (Scope 3, Category 11: Use of Sold Products)</w:t>
      </w:r>
    </w:p>
    <w:p>
      <w:pPr>
        <w:pStyle w:val="FirstParagraph"/>
      </w:pPr>
      <w:r>
        <w:t xml:space="preserve">The use phase calculation utilizes the provided durability and consumption data.</w:t>
      </w:r>
    </w:p>
    <w:p>
      <w:pPr>
        <w:numPr>
          <w:ilvl w:val="0"/>
          <w:numId w:val="1005"/>
        </w:numPr>
        <w:pStyle w:val="Compact"/>
      </w:pPr>
      <w:r>
        <w:rPr>
          <w:bCs/>
          <w:b/>
        </w:rPr>
        <w:t xml:space="preserve">Product Lifespan (ezpfymdrpn):</w:t>
      </w:r>
      <w:r>
        <w:t xml:space="preserve"> </w:t>
      </w:r>
      <w:r>
        <w:t xml:space="preserve">Assumed 3 years.</w:t>
      </w:r>
    </w:p>
    <w:p>
      <w:pPr>
        <w:numPr>
          <w:ilvl w:val="0"/>
          <w:numId w:val="1005"/>
        </w:numPr>
        <w:pStyle w:val="Compact"/>
      </w:pPr>
      <w:r>
        <w:rPr>
          <w:bCs/>
          <w:b/>
        </w:rPr>
        <w:t xml:space="preserve">Energy Consumption in Use (mpvimhfjux):</w:t>
      </w:r>
      <w:r>
        <w:t xml:space="preserve"> </w:t>
      </w:r>
      <w:r>
        <w:t xml:space="preserve">Assumed 10 kWh/year.</w:t>
      </w:r>
    </w:p>
    <w:p>
      <w:pPr>
        <w:numPr>
          <w:ilvl w:val="0"/>
          <w:numId w:val="1005"/>
        </w:numPr>
        <w:pStyle w:val="Compact"/>
      </w:pPr>
      <w:r>
        <w:rPr>
          <w:bCs/>
          <w:b/>
        </w:rPr>
        <w:t xml:space="preserve">Grid Electricity Emission Factor (Europe, for use phase):</w:t>
      </w:r>
      <w:r>
        <w:t xml:space="preserve"> </w:t>
      </w:r>
      <w:r>
        <w:t xml:space="preserve">0.28 kg CO2e/kWh (average for Europe, considering decreasing trend).</w:t>
      </w:r>
    </w:p>
    <w:bookmarkEnd w:id="27"/>
    <w:bookmarkStart w:id="28" w:name="X9982929b618de862c11111658ccce8db3e98553"/>
    <w:p>
      <w:pPr>
        <w:pStyle w:val="Heading3"/>
      </w:pPr>
      <w:r>
        <w:t xml:space="preserve">End-of-Life (EoL) (Scope 3, Category 12: End-of-Life Treatment of Sold Products)</w:t>
      </w:r>
    </w:p>
    <w:p>
      <w:pPr>
        <w:pStyle w:val="FirstParagraph"/>
      </w:pPr>
      <w:r>
        <w:t xml:space="preserve">EoL scenarios incorporate recyclability and circular economy impacts.</w:t>
      </w:r>
    </w:p>
    <w:p>
      <w:pPr>
        <w:numPr>
          <w:ilvl w:val="0"/>
          <w:numId w:val="1006"/>
        </w:numPr>
        <w:pStyle w:val="Compact"/>
      </w:pPr>
      <w:r>
        <w:rPr>
          <w:bCs/>
          <w:b/>
        </w:rPr>
        <w:t xml:space="preserve">Recyclability Percentage (eswtpzkihq):</w:t>
      </w:r>
      <w:r>
        <w:t xml:space="preserve"> </w:t>
      </w:r>
      <w:r>
        <w:t xml:space="preserve">Assumed 60%.</w:t>
      </w:r>
    </w:p>
    <w:p>
      <w:pPr>
        <w:numPr>
          <w:ilvl w:val="0"/>
          <w:numId w:val="1006"/>
        </w:numPr>
        <w:pStyle w:val="Compact"/>
      </w:pPr>
      <w:r>
        <w:rPr>
          <w:bCs/>
          <w:b/>
        </w:rPr>
        <w:t xml:space="preserve">Circular/Take-back Programs (rerwrugsxh):</w:t>
      </w:r>
      <w:r>
        <w:t xml:space="preserve"> </w:t>
      </w:r>
      <w:r>
        <w:t xml:space="preserve">The presence of such programs (assumed 10% return rate for refurbishment) is acknowledged to reduce lifecycle impacts through avoided production, though specific avoided burden for this single unit PCF is complex to quantify without more detailed system data. The primary focus here is on direct EoL scenarios for the unit.</w:t>
      </w:r>
    </w:p>
    <w:p>
      <w:pPr>
        <w:numPr>
          <w:ilvl w:val="0"/>
          <w:numId w:val="1006"/>
        </w:numPr>
        <w:pStyle w:val="Compact"/>
      </w:pPr>
      <w:r>
        <w:rPr>
          <w:bCs/>
          <w:b/>
        </w:rPr>
        <w:t xml:space="preserve">Avoided Emissions from Recycling (Illustrative):</w:t>
      </w:r>
    </w:p>
    <w:p>
      <w:pPr>
        <w:numPr>
          <w:ilvl w:val="1"/>
          <w:numId w:val="1007"/>
        </w:numPr>
        <w:pStyle w:val="Compact"/>
      </w:pPr>
      <w:r>
        <w:t xml:space="preserve">Metals: -8.14 kg CO2e/kg.</w:t>
      </w:r>
    </w:p>
    <w:p>
      <w:pPr>
        <w:numPr>
          <w:ilvl w:val="1"/>
          <w:numId w:val="1007"/>
        </w:numPr>
        <w:pStyle w:val="Compact"/>
      </w:pPr>
      <w:r>
        <w:t xml:space="preserve">Plastics: -1.08 kg CO2e/kg.</w:t>
      </w:r>
    </w:p>
    <w:p>
      <w:pPr>
        <w:numPr>
          <w:ilvl w:val="0"/>
          <w:numId w:val="1006"/>
        </w:numPr>
        <w:pStyle w:val="Compact"/>
      </w:pPr>
      <w:r>
        <w:rPr>
          <w:bCs/>
          <w:b/>
        </w:rPr>
        <w:t xml:space="preserve">Disposal Emissions (Illustrative):</w:t>
      </w:r>
      <w:r>
        <w:t xml:space="preserve"> </w:t>
      </w:r>
      <w:r>
        <w:t xml:space="preserve">0.1 kg CO2e/kg (for non-recycled waste).</w:t>
      </w:r>
    </w:p>
    <w:p>
      <w:r>
        <w:pict>
          <v:rect style="width:0;height:1.5pt" o:hralign="center" o:hrstd="t" o:hr="t"/>
        </w:pict>
      </w:r>
    </w:p>
    <w:bookmarkEnd w:id="28"/>
    <w:bookmarkEnd w:id="29"/>
    <w:bookmarkStart w:id="40" w:name="Xb404f6bea4a0013006ec7a9103609d9ea6643c1"/>
    <w:p>
      <w:pPr>
        <w:pStyle w:val="Heading2"/>
      </w:pPr>
      <w:r>
        <w:t xml:space="preserve">4. Calculate Emissions (Activity * Emission Factor = CO2e)</w:t>
      </w:r>
    </w:p>
    <w:p>
      <w:pPr>
        <w:pStyle w:val="FirstParagraph"/>
      </w:pPr>
      <w:r>
        <w:t xml:space="preserve">Emissions are calculated for each lifecycle stage, categorized according to the GHG Protocol. Industry-standard emission factors, primarily adapted from publicly available databases and research (e.g., Ecoinvent/DEFRA equivalents), are applied.</w:t>
      </w:r>
    </w:p>
    <w:bookmarkStart w:id="30" w:name="ghg-protocol-2026-updates-application"/>
    <w:p>
      <w:pPr>
        <w:pStyle w:val="Heading3"/>
      </w:pPr>
      <w:r>
        <w:t xml:space="preserve">GHG Protocol 2026 Updates Application:</w:t>
      </w:r>
    </w:p>
    <w:p>
      <w:pPr>
        <w:numPr>
          <w:ilvl w:val="0"/>
          <w:numId w:val="1008"/>
        </w:numPr>
        <w:pStyle w:val="Compact"/>
      </w:pPr>
      <w:r>
        <w:rPr>
          <w:bCs/>
          <w:b/>
        </w:rPr>
        <w:t xml:space="preserve">Land Sector and Removals (LSR) Standard:</w:t>
      </w:r>
      <w:r>
        <w:t xml:space="preserve"> </w:t>
      </w:r>
      <w:r>
        <w:t xml:space="preserve">The LSR Standard v1.0 was released on January 30, 2026, and is effective January 1, 2027. While its full guidance is expected in Q2 2026, this analysis acknowledges its principles. For a generic product like izrnufelzv, direct land-use emissions from company operations are typically negligible or accounted for within upstream material production (Scope 3, Category 1). Therefore, no direct quantification under LSR is applied in this specific PCF without further land-use specific activity data for hxezfnwumx.</w:t>
      </w:r>
    </w:p>
    <w:p>
      <w:pPr>
        <w:numPr>
          <w:ilvl w:val="0"/>
          <w:numId w:val="1008"/>
        </w:numPr>
        <w:pStyle w:val="Compact"/>
      </w:pPr>
      <w:r>
        <w:rPr>
          <w:bCs/>
          <w:b/>
        </w:rPr>
        <w:t xml:space="preserve">Scope 3 Compliance (2026 Requirements):</w:t>
      </w:r>
      <w:r>
        <w:t xml:space="preserve"> </w:t>
      </w:r>
      <w:r>
        <w:t xml:space="preserve">The GHG Protocol requires companies to account for at least 95% of total required Scope 3 emissions to claim conformance. This analysis aims for comprehensive Scope 3 coverage by considering key categories (1, 4, 9, 11, 12) which represent the significant emission sources for most products. Future analyses should include a detailed hotspot analysis of all 15+ Scope 3 categories to ensure strict 95% coverage. Data disaggregation by source type (primary vs. secondary) for Scope 3 is also becoming mandatory. This report uses a mix of specific and average data, indicating a need for more primary data collection in the future.</w:t>
      </w:r>
    </w:p>
    <w:bookmarkEnd w:id="30"/>
    <w:bookmarkStart w:id="39" w:name="Xaa12b8a0bed38dc95188ce7dc1eee5f142d3144"/>
    <w:p>
      <w:pPr>
        <w:pStyle w:val="Heading3"/>
      </w:pPr>
      <w:r>
        <w:t xml:space="preserve">Emission Calculations by Scope and Lifecycle Stage:</w:t>
      </w:r>
    </w:p>
    <w:bookmarkStart w:id="31" w:name="scope-1-emissions-direct-emissions"/>
    <w:p>
      <w:pPr>
        <w:pStyle w:val="Heading4"/>
      </w:pPr>
      <w:r>
        <w:t xml:space="preserve">Scope 1 Emissions (Direct Emissions)</w:t>
      </w:r>
    </w:p>
    <w:p>
      <w:pPr>
        <w:pStyle w:val="FirstParagraph"/>
      </w:pPr>
      <w:r>
        <w:t xml:space="preserve">Direct GHG emissions from sources owned or controlled by</w:t>
      </w:r>
      <w:r>
        <w:t xml:space="preserve"> </w:t>
      </w:r>
      <w:r>
        <w:rPr>
          <w:bCs/>
          <w:b/>
        </w:rPr>
        <w:t xml:space="preserve">hxezfnwumx</w:t>
      </w:r>
      <w:r>
        <w:t xml:space="preserve">.</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Activity</w:t>
            </w:r>
          </w:p>
        </w:tc>
        <w:tc>
          <w:tcPr/>
          <w:p>
            <w:pPr>
              <w:pStyle w:val="Compact"/>
              <w:jc w:val="left"/>
            </w:pPr>
            <w:r>
              <w:t xml:space="preserve">Emissions (kg CO2e)</w:t>
            </w:r>
          </w:p>
        </w:tc>
      </w:tr>
      <w:tr>
        <w:tc>
          <w:tcPr/>
          <w:p>
            <w:pPr>
              <w:pStyle w:val="Compact"/>
              <w:jc w:val="left"/>
            </w:pPr>
            <w:r>
              <w:t xml:space="preserve">On-site Combustion (e.g., boilers, company vehicles)</w:t>
            </w:r>
          </w:p>
        </w:tc>
        <w:tc>
          <w:tcPr/>
          <w:p>
            <w:pPr>
              <w:pStyle w:val="Compact"/>
              <w:jc w:val="left"/>
            </w:pPr>
            <w:r>
              <w:t xml:space="preserve">0.00 (Assumed negligible/embedded without specific data)</w:t>
            </w:r>
          </w:p>
        </w:tc>
      </w:tr>
      <w:tr>
        <w:tc>
          <w:tcPr/>
          <w:p>
            <w:pPr>
              <w:pStyle w:val="Compact"/>
              <w:jc w:val="right"/>
            </w:pPr>
            <w:r>
              <w:rPr>
                <w:bCs/>
                <w:b/>
              </w:rPr>
              <w:t xml:space="preserve">Total Scope 1 Emissions:</w:t>
            </w:r>
          </w:p>
        </w:tc>
        <w:tc>
          <w:tcPr/>
          <w:p>
            <w:pPr>
              <w:pStyle w:val="Compact"/>
              <w:jc w:val="left"/>
            </w:pPr>
            <w:r>
              <w:rPr>
                <w:bCs/>
                <w:b/>
              </w:rPr>
              <w:t xml:space="preserve">0.00</w:t>
            </w:r>
          </w:p>
        </w:tc>
      </w:tr>
    </w:tbl>
    <w:bookmarkEnd w:id="31"/>
    <w:bookmarkStart w:id="32" w:name="X2d8d685b47aa894fb1e052b68fb751e5e9e47f0"/>
    <w:p>
      <w:pPr>
        <w:pStyle w:val="Heading4"/>
      </w:pPr>
      <w:r>
        <w:t xml:space="preserve">Scope 2 Emissions (Energy Indirect Emissions)</w:t>
      </w:r>
    </w:p>
    <w:p>
      <w:pPr>
        <w:pStyle w:val="FirstParagraph"/>
      </w:pPr>
      <w:r>
        <w:t xml:space="preserve">Indirect GHG emissions from the generation of purchased electricity, steam, heating, or cooling consumed by</w:t>
      </w:r>
      <w:r>
        <w:t xml:space="preserve"> </w:t>
      </w:r>
      <w:r>
        <w:rPr>
          <w:bCs/>
          <w:b/>
        </w:rPr>
        <w:t xml:space="preserve">hxezfnwumx</w:t>
      </w:r>
      <w:r>
        <w:t xml:space="preserve">.</w:t>
      </w:r>
    </w:p>
    <w:tbl>
      <w:tblPr>
        <w:tblStyle w:val="Table"/>
        <w:tblW w:type="auto" w:w="0"/>
        <w:tblLook w:firstRow="1" w:lastRow="1"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Activity</w:t>
            </w:r>
          </w:p>
        </w:tc>
        <w:tc>
          <w:tcPr/>
          <w:p>
            <w:pPr>
              <w:pStyle w:val="Compact"/>
              <w:jc w:val="left"/>
            </w:pPr>
            <w:r>
              <w:t xml:space="preserve">Value</w:t>
            </w:r>
          </w:p>
        </w:tc>
        <w:tc>
          <w:tcPr/>
          <w:p>
            <w:pPr>
              <w:pStyle w:val="Compact"/>
              <w:jc w:val="left"/>
            </w:pPr>
            <w:r>
              <w:t xml:space="preserve">Unit</w:t>
            </w:r>
          </w:p>
        </w:tc>
        <w:tc>
          <w:tcPr/>
          <w:p>
            <w:pPr>
              <w:pStyle w:val="Compact"/>
              <w:jc w:val="left"/>
            </w:pPr>
            <w:r>
              <w:t xml:space="preserve">Emission Factor (kg CO2e/kWh)</w:t>
            </w:r>
          </w:p>
        </w:tc>
        <w:tc>
          <w:tcPr/>
          <w:p>
            <w:pPr>
              <w:pStyle w:val="Compact"/>
              <w:jc w:val="left"/>
            </w:pPr>
            <w:r>
              <w:t xml:space="preserve">Emissions (kg CO2e)</w:t>
            </w:r>
          </w:p>
        </w:tc>
      </w:tr>
      <w:tr>
        <w:tc>
          <w:tcPr/>
          <w:p>
            <w:pPr>
              <w:pStyle w:val="Compact"/>
              <w:jc w:val="left"/>
            </w:pPr>
            <w:r>
              <w:t xml:space="preserve">Purchased Electricity for Manufacturing (Total)</w:t>
            </w:r>
          </w:p>
        </w:tc>
        <w:tc>
          <w:tcPr/>
          <w:p>
            <w:pPr>
              <w:pStyle w:val="Compact"/>
              <w:jc w:val="left"/>
            </w:pPr>
            <w:r>
              <w:t xml:space="preserve">5.00 (from</w:t>
            </w:r>
            <w:r>
              <w:t xml:space="preserve"> </w:t>
            </w:r>
            <w:r>
              <w:rPr>
                <w:bCs/>
                <w:b/>
              </w:rPr>
              <w:t xml:space="preserve">jjrwkvewke</w:t>
            </w:r>
            <w:r>
              <w:t xml:space="preserve">)</w:t>
            </w:r>
          </w:p>
        </w:tc>
        <w:tc>
          <w:tcPr/>
          <w:p>
            <w:pPr>
              <w:pStyle w:val="Compact"/>
              <w:jc w:val="left"/>
            </w:pPr>
            <w:r>
              <w:t xml:space="preserve">kWh/unit</w:t>
            </w:r>
          </w:p>
        </w:tc>
        <w:tc>
          <w:tcPr/>
          <w:p>
            <w:pPr>
              <w:pStyle w:val="Compact"/>
              <w:jc w:val="left"/>
            </w:pPr>
            <w:r>
              <w:t xml:space="preserve">-</w:t>
            </w:r>
          </w:p>
        </w:tc>
        <w:tc>
          <w:tcPr/>
          <w:p>
            <w:pPr>
              <w:pStyle w:val="Compact"/>
              <w:jc w:val="left"/>
            </w:pPr>
            <w:r>
              <w:t xml:space="preserve">-</w:t>
            </w:r>
          </w:p>
        </w:tc>
      </w:tr>
      <w:tr>
        <w:tc>
          <w:tcPr/>
          <w:p>
            <w:pPr>
              <w:pStyle w:val="Compact"/>
              <w:jc w:val="left"/>
            </w:pPr>
            <w:r>
              <w:t xml:space="preserve">    Less: Renewable Energy Usage</w:t>
            </w:r>
          </w:p>
        </w:tc>
        <w:tc>
          <w:tcPr/>
          <w:p>
            <w:pPr>
              <w:pStyle w:val="Compact"/>
              <w:jc w:val="left"/>
            </w:pPr>
            <w:r>
              <w:t xml:space="preserve">1.50 (30% of total, from</w:t>
            </w:r>
            <w:r>
              <w:t xml:space="preserve"> </w:t>
            </w:r>
            <w:r>
              <w:rPr>
                <w:bCs/>
                <w:b/>
              </w:rPr>
              <w:t xml:space="preserve">eupmggzrtz</w:t>
            </w:r>
            <w:r>
              <w:t xml:space="preserve">)</w:t>
            </w:r>
          </w:p>
        </w:tc>
        <w:tc>
          <w:tcPr/>
          <w:p>
            <w:pPr>
              <w:pStyle w:val="Compact"/>
              <w:jc w:val="left"/>
            </w:pPr>
            <w:r>
              <w:t xml:space="preserve">kWh/unit</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    Non-renewable Electricity</w:t>
            </w:r>
          </w:p>
        </w:tc>
        <w:tc>
          <w:tcPr/>
          <w:p>
            <w:pPr>
              <w:pStyle w:val="Compact"/>
              <w:jc w:val="left"/>
            </w:pPr>
            <w:r>
              <w:t xml:space="preserve">3.50</w:t>
            </w:r>
          </w:p>
        </w:tc>
        <w:tc>
          <w:tcPr/>
          <w:p>
            <w:pPr>
              <w:pStyle w:val="Compact"/>
              <w:jc w:val="left"/>
            </w:pPr>
            <w:r>
              <w:t xml:space="preserve">kWh/unit</w:t>
            </w:r>
          </w:p>
        </w:tc>
        <w:tc>
          <w:tcPr/>
          <w:p>
            <w:pPr>
              <w:pStyle w:val="Compact"/>
              <w:jc w:val="left"/>
            </w:pPr>
            <w:r>
              <w:t xml:space="preserve">0.61 (China Grid Mix)</w:t>
            </w:r>
          </w:p>
        </w:tc>
        <w:tc>
          <w:tcPr/>
          <w:p>
            <w:pPr>
              <w:pStyle w:val="Compact"/>
              <w:jc w:val="left"/>
            </w:pPr>
            <w:r>
              <w:t xml:space="preserve">2.14</w:t>
            </w:r>
          </w:p>
        </w:tc>
      </w:tr>
      <w:tr>
        <w:tc>
          <w:tcPr>
            <w:gridSpan w:val="4"/>
          </w:tcPr>
          <w:p>
            <w:pPr>
              <w:pStyle w:val="Compact"/>
              <w:jc w:val="right"/>
            </w:pPr>
            <w:r>
              <w:rPr>
                <w:bCs/>
                <w:b/>
              </w:rPr>
              <w:t xml:space="preserve">Total Scope 2 Emissions:</w:t>
            </w:r>
          </w:p>
        </w:tc>
        <w:tc>
          <w:tcPr/>
          <w:p>
            <w:pPr>
              <w:pStyle w:val="Compact"/>
              <w:jc w:val="left"/>
            </w:pPr>
            <w:r>
              <w:rPr>
                <w:bCs/>
                <w:b/>
              </w:rPr>
              <w:t xml:space="preserve">2.14</w:t>
            </w:r>
          </w:p>
        </w:tc>
      </w:tr>
    </w:tbl>
    <w:bookmarkEnd w:id="32"/>
    <w:bookmarkStart w:id="38" w:name="Xa4ae47cf428664338de6136b1752768d982738f"/>
    <w:p>
      <w:pPr>
        <w:pStyle w:val="Heading4"/>
      </w:pPr>
      <w:r>
        <w:t xml:space="preserve">Scope 3 Emissions (Other Indirect Emissions - Value Chain)</w:t>
      </w:r>
    </w:p>
    <w:p>
      <w:pPr>
        <w:pStyle w:val="FirstParagraph"/>
      </w:pPr>
      <w:r>
        <w:t xml:space="preserve">All other indirect emissions that occur in the value chain of</w:t>
      </w:r>
      <w:r>
        <w:t xml:space="preserve"> </w:t>
      </w:r>
      <w:r>
        <w:rPr>
          <w:bCs/>
          <w:b/>
        </w:rPr>
        <w:t xml:space="preserve">hxezfnwumx</w:t>
      </w:r>
      <w:r>
        <w:t xml:space="preserve">.</w:t>
      </w:r>
    </w:p>
    <w:bookmarkStart w:id="33" w:name="Xeb95e540fc9851a1e6cec7b12495eddc5ea8498"/>
    <w:p>
      <w:pPr>
        <w:pStyle w:val="Heading5"/>
      </w:pPr>
      <w:r>
        <w:t xml:space="preserve">Category 1: Purchased Goods and Services (Material Production)</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Activity</w:t>
            </w:r>
          </w:p>
        </w:tc>
        <w:tc>
          <w:tcPr/>
          <w:p>
            <w:pPr>
              <w:pStyle w:val="Compact"/>
              <w:jc w:val="left"/>
            </w:pPr>
            <w:r>
              <w:t xml:space="preserve">Emissions (kg CO2e)</w:t>
            </w:r>
          </w:p>
        </w:tc>
      </w:tr>
      <w:tr>
        <w:tc>
          <w:tcPr/>
          <w:p>
            <w:pPr>
              <w:pStyle w:val="Compact"/>
              <w:jc w:val="left"/>
            </w:pPr>
            <w:r>
              <w:t xml:space="preserve">Raw Material Acquisition &amp; Pre-processing (from BOM)</w:t>
            </w:r>
          </w:p>
        </w:tc>
        <w:tc>
          <w:tcPr/>
          <w:p>
            <w:pPr>
              <w:pStyle w:val="Compact"/>
              <w:jc w:val="left"/>
            </w:pPr>
            <w:r>
              <w:t xml:space="preserve">3.03</w:t>
            </w:r>
          </w:p>
        </w:tc>
      </w:tr>
      <w:tr>
        <w:tc>
          <w:tcPr/>
          <w:p>
            <w:pPr>
              <w:pStyle w:val="Compact"/>
              <w:jc w:val="right"/>
            </w:pPr>
            <w:r>
              <w:rPr>
                <w:bCs/>
                <w:b/>
              </w:rPr>
              <w:t xml:space="preserve">Total Scope 3, Category 1 Emissions:</w:t>
            </w:r>
          </w:p>
        </w:tc>
        <w:tc>
          <w:tcPr/>
          <w:p>
            <w:pPr>
              <w:pStyle w:val="Compact"/>
              <w:jc w:val="left"/>
            </w:pPr>
            <w:r>
              <w:rPr>
                <w:bCs/>
                <w:b/>
              </w:rPr>
              <w:t xml:space="preserve">3.03</w:t>
            </w:r>
          </w:p>
        </w:tc>
      </w:tr>
    </w:tbl>
    <w:bookmarkEnd w:id="33"/>
    <w:bookmarkStart w:id="34" w:name="X6669a43143349c25ec93e775eebde43de53a73c"/>
    <w:p>
      <w:pPr>
        <w:pStyle w:val="Heading5"/>
      </w:pPr>
      <w:r>
        <w:t xml:space="preserve">Category 4: Upstream Transportation and Distribution</w:t>
      </w:r>
    </w:p>
    <w:tbl>
      <w:tblPr>
        <w:tblStyle w:val="Table"/>
        <w:tblW w:type="auto" w:w="0"/>
        <w:tblLook w:firstRow="1" w:lastRow="1"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Activity</w:t>
            </w:r>
          </w:p>
        </w:tc>
        <w:tc>
          <w:tcPr/>
          <w:p>
            <w:pPr>
              <w:pStyle w:val="Compact"/>
              <w:jc w:val="left"/>
            </w:pPr>
            <w:r>
              <w:t xml:space="preserve">Weight (kg)</w:t>
            </w:r>
          </w:p>
        </w:tc>
        <w:tc>
          <w:tcPr/>
          <w:p>
            <w:pPr>
              <w:pStyle w:val="Compact"/>
              <w:jc w:val="left"/>
            </w:pPr>
            <w:r>
              <w:t xml:space="preserve">Distance (km)</w:t>
            </w:r>
          </w:p>
        </w:tc>
        <w:tc>
          <w:tcPr/>
          <w:p>
            <w:pPr>
              <w:pStyle w:val="Compact"/>
              <w:jc w:val="left"/>
            </w:pPr>
            <w:r>
              <w:t xml:space="preserve">EF (kg CO2e/kg.km)</w:t>
            </w:r>
          </w:p>
        </w:tc>
        <w:tc>
          <w:tcPr/>
          <w:p>
            <w:pPr>
              <w:pStyle w:val="Compact"/>
              <w:jc w:val="left"/>
            </w:pPr>
            <w:r>
              <w:t xml:space="preserve">Emissions (kg CO2e)</w:t>
            </w:r>
          </w:p>
        </w:tc>
      </w:tr>
      <w:tr>
        <w:tc>
          <w:tcPr/>
          <w:p>
            <w:pPr>
              <w:pStyle w:val="Compact"/>
              <w:jc w:val="left"/>
            </w:pPr>
            <w:r>
              <w:t xml:space="preserve">Inbound Logistics (Materials to China)</w:t>
            </w:r>
          </w:p>
        </w:tc>
        <w:tc>
          <w:tcPr/>
          <w:p>
            <w:pPr>
              <w:pStyle w:val="Compact"/>
              <w:jc w:val="left"/>
            </w:pPr>
            <w:r>
              <w:t xml:space="preserve">0.46</w:t>
            </w:r>
          </w:p>
        </w:tc>
        <w:tc>
          <w:tcPr/>
          <w:p>
            <w:pPr>
              <w:pStyle w:val="Compact"/>
              <w:jc w:val="left"/>
            </w:pPr>
            <w:r>
              <w:t xml:space="preserve">1500 (from</w:t>
            </w:r>
            <w:r>
              <w:t xml:space="preserve"> </w:t>
            </w:r>
            <w:r>
              <w:rPr>
                <w:bCs/>
                <w:b/>
              </w:rPr>
              <w:t xml:space="preserve">nndmulwmhd</w:t>
            </w:r>
            <w:r>
              <w:t xml:space="preserve">)</w:t>
            </w:r>
          </w:p>
        </w:tc>
        <w:tc>
          <w:tcPr/>
          <w:p>
            <w:pPr>
              <w:pStyle w:val="Compact"/>
              <w:jc w:val="left"/>
            </w:pPr>
            <w:r>
              <w:t xml:space="preserve">0.0001 (Road Freight HDT)</w:t>
            </w:r>
          </w:p>
        </w:tc>
        <w:tc>
          <w:tcPr/>
          <w:p>
            <w:pPr>
              <w:pStyle w:val="Compact"/>
              <w:jc w:val="left"/>
            </w:pPr>
            <w:r>
              <w:t xml:space="preserve">0.07</w:t>
            </w:r>
          </w:p>
        </w:tc>
      </w:tr>
      <w:tr>
        <w:tc>
          <w:tcPr>
            <w:gridSpan w:val="4"/>
          </w:tcPr>
          <w:p>
            <w:pPr>
              <w:pStyle w:val="Compact"/>
              <w:jc w:val="right"/>
            </w:pPr>
            <w:r>
              <w:rPr>
                <w:bCs/>
                <w:b/>
              </w:rPr>
              <w:t xml:space="preserve">Total Scope 3, Category 4 Emissions:</w:t>
            </w:r>
          </w:p>
        </w:tc>
        <w:tc>
          <w:tcPr/>
          <w:p>
            <w:pPr>
              <w:pStyle w:val="Compact"/>
              <w:jc w:val="left"/>
            </w:pPr>
            <w:r>
              <w:rPr>
                <w:bCs/>
                <w:b/>
              </w:rPr>
              <w:t xml:space="preserve">0.07</w:t>
            </w:r>
          </w:p>
        </w:tc>
      </w:tr>
    </w:tbl>
    <w:bookmarkEnd w:id="34"/>
    <w:bookmarkStart w:id="35" w:name="X25a0837e2ca53a982bfb6f58a50970139f4f25f"/>
    <w:p>
      <w:pPr>
        <w:pStyle w:val="Heading5"/>
      </w:pPr>
      <w:r>
        <w:t xml:space="preserve">Category 9: Downstream Transportation and Distribution</w:t>
      </w:r>
    </w:p>
    <w:tbl>
      <w:tblPr>
        <w:tblStyle w:val="Table"/>
        <w:tblW w:type="auto" w:w="0"/>
        <w:tblLook w:firstRow="1" w:lastRow="1"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Activity</w:t>
            </w:r>
          </w:p>
        </w:tc>
        <w:tc>
          <w:tcPr/>
          <w:p>
            <w:pPr>
              <w:pStyle w:val="Compact"/>
              <w:jc w:val="left"/>
            </w:pPr>
            <w:r>
              <w:t xml:space="preserve">Weight (kg)</w:t>
            </w:r>
          </w:p>
        </w:tc>
        <w:tc>
          <w:tcPr/>
          <w:p>
            <w:pPr>
              <w:pStyle w:val="Compact"/>
              <w:jc w:val="left"/>
            </w:pPr>
            <w:r>
              <w:t xml:space="preserve">Distance (km)</w:t>
            </w:r>
          </w:p>
        </w:tc>
        <w:tc>
          <w:tcPr/>
          <w:p>
            <w:pPr>
              <w:pStyle w:val="Compact"/>
              <w:jc w:val="left"/>
            </w:pPr>
            <w:r>
              <w:t xml:space="preserve">EF (kg CO2e/kg.km)</w:t>
            </w:r>
          </w:p>
        </w:tc>
        <w:tc>
          <w:tcPr/>
          <w:p>
            <w:pPr>
              <w:pStyle w:val="Compact"/>
              <w:jc w:val="left"/>
            </w:pPr>
            <w:r>
              <w:t xml:space="preserve">Emissions (kg CO2e)</w:t>
            </w:r>
          </w:p>
        </w:tc>
      </w:tr>
      <w:tr>
        <w:tc>
          <w:tcPr/>
          <w:p>
            <w:pPr>
              <w:pStyle w:val="Compact"/>
              <w:jc w:val="left"/>
            </w:pPr>
            <w:r>
              <w:t xml:space="preserve">Outbound Logistics (China to Europe)</w:t>
            </w:r>
          </w:p>
        </w:tc>
        <w:tc>
          <w:tcPr/>
          <w:p>
            <w:pPr>
              <w:pStyle w:val="Compact"/>
              <w:jc w:val="left"/>
            </w:pPr>
            <w:r>
              <w:t xml:space="preserve">0.46</w:t>
            </w:r>
          </w:p>
        </w:tc>
        <w:tc>
          <w:tcPr/>
          <w:p>
            <w:pPr>
              <w:pStyle w:val="Compact"/>
              <w:jc w:val="left"/>
            </w:pPr>
            <w:r>
              <w:t xml:space="preserve">2000 (from</w:t>
            </w:r>
            <w:r>
              <w:t xml:space="preserve"> </w:t>
            </w:r>
            <w:r>
              <w:rPr>
                <w:bCs/>
                <w:b/>
              </w:rPr>
              <w:t xml:space="preserve">nndmulwmhd</w:t>
            </w:r>
            <w:r>
              <w:t xml:space="preserve">)</w:t>
            </w:r>
          </w:p>
        </w:tc>
        <w:tc>
          <w:tcPr/>
          <w:p>
            <w:pPr>
              <w:pStyle w:val="Compact"/>
              <w:jc w:val="left"/>
            </w:pPr>
            <w:r>
              <w:t xml:space="preserve">0.0001 (Road Freight HDT)</w:t>
            </w:r>
          </w:p>
        </w:tc>
        <w:tc>
          <w:tcPr/>
          <w:p>
            <w:pPr>
              <w:pStyle w:val="Compact"/>
              <w:jc w:val="left"/>
            </w:pPr>
            <w:r>
              <w:t xml:space="preserve">0.09</w:t>
            </w:r>
          </w:p>
        </w:tc>
      </w:tr>
      <w:tr>
        <w:tc>
          <w:tcPr/>
          <w:p>
            <w:pPr>
              <w:pStyle w:val="Compact"/>
              <w:jc w:val="left"/>
            </w:pPr>
            <w:r>
              <w:t xml:space="preserve">Last-Mile Delivery (to End-User)</w:t>
            </w:r>
          </w:p>
        </w:tc>
        <w:tc>
          <w:tcPr/>
          <w:p>
            <w:pPr>
              <w:pStyle w:val="Compact"/>
              <w:jc w:val="left"/>
            </w:pPr>
            <w:r>
              <w:t xml:space="preserve">0.46</w:t>
            </w:r>
          </w:p>
        </w:tc>
        <w:tc>
          <w:tcPr/>
          <w:p>
            <w:pPr>
              <w:pStyle w:val="Compact"/>
              <w:jc w:val="left"/>
            </w:pPr>
            <w:r>
              <w:t xml:space="preserve">100 (from</w:t>
            </w:r>
            <w:r>
              <w:t xml:space="preserve"> </w:t>
            </w:r>
            <w:r>
              <w:rPr>
                <w:bCs/>
                <w:b/>
              </w:rPr>
              <w:t xml:space="preserve">Delivery Type</w:t>
            </w:r>
            <w:r>
              <w:t xml:space="preserve">)</w:t>
            </w:r>
          </w:p>
        </w:tc>
        <w:tc>
          <w:tcPr/>
          <w:p>
            <w:pPr>
              <w:pStyle w:val="Compact"/>
              <w:jc w:val="left"/>
            </w:pPr>
            <w:r>
              <w:t xml:space="preserve">0.0002 (Road Freight LCV)</w:t>
            </w:r>
          </w:p>
        </w:tc>
        <w:tc>
          <w:tcPr/>
          <w:p>
            <w:pPr>
              <w:pStyle w:val="Compact"/>
              <w:jc w:val="left"/>
            </w:pPr>
            <w:r>
              <w:t xml:space="preserve">0.01</w:t>
            </w:r>
          </w:p>
        </w:tc>
      </w:tr>
      <w:tr>
        <w:tc>
          <w:tcPr>
            <w:gridSpan w:val="4"/>
          </w:tcPr>
          <w:p>
            <w:pPr>
              <w:pStyle w:val="Compact"/>
              <w:jc w:val="right"/>
            </w:pPr>
            <w:r>
              <w:rPr>
                <w:bCs/>
                <w:b/>
              </w:rPr>
              <w:t xml:space="preserve">Total Scope 3, Category 9 Emissions:</w:t>
            </w:r>
          </w:p>
        </w:tc>
        <w:tc>
          <w:tcPr/>
          <w:p>
            <w:pPr>
              <w:pStyle w:val="Compact"/>
              <w:jc w:val="left"/>
            </w:pPr>
            <w:r>
              <w:rPr>
                <w:bCs/>
                <w:b/>
              </w:rPr>
              <w:t xml:space="preserve">0.10</w:t>
            </w:r>
          </w:p>
        </w:tc>
      </w:tr>
    </w:tbl>
    <w:bookmarkEnd w:id="35"/>
    <w:bookmarkStart w:id="36" w:name="category-11-use-of-sold-products"/>
    <w:p>
      <w:pPr>
        <w:pStyle w:val="Heading5"/>
      </w:pPr>
      <w:r>
        <w:t xml:space="preserve">Category 11: Use of Sold Products</w:t>
      </w:r>
    </w:p>
    <w:tbl>
      <w:tblPr>
        <w:tblStyle w:val="Table"/>
        <w:tblW w:type="auto" w:w="0"/>
        <w:tblLook w:firstRow="1" w:lastRow="1"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Activity</w:t>
            </w:r>
          </w:p>
        </w:tc>
        <w:tc>
          <w:tcPr/>
          <w:p>
            <w:pPr>
              <w:pStyle w:val="Compact"/>
              <w:jc w:val="left"/>
            </w:pPr>
            <w:r>
              <w:t xml:space="preserve">Value</w:t>
            </w:r>
          </w:p>
        </w:tc>
        <w:tc>
          <w:tcPr/>
          <w:p>
            <w:pPr>
              <w:pStyle w:val="Compact"/>
              <w:jc w:val="left"/>
            </w:pPr>
            <w:r>
              <w:t xml:space="preserve">Unit</w:t>
            </w:r>
          </w:p>
        </w:tc>
        <w:tc>
          <w:tcPr/>
          <w:p>
            <w:pPr>
              <w:pStyle w:val="Compact"/>
              <w:jc w:val="left"/>
            </w:pPr>
            <w:r>
              <w:t xml:space="preserve">Emission Factor (kg CO2e/kWh)</w:t>
            </w:r>
          </w:p>
        </w:tc>
        <w:tc>
          <w:tcPr/>
          <w:p>
            <w:pPr>
              <w:pStyle w:val="Compact"/>
              <w:jc w:val="left"/>
            </w:pPr>
            <w:r>
              <w:t xml:space="preserve">Emissions (kg CO2e)</w:t>
            </w:r>
          </w:p>
        </w:tc>
      </w:tr>
      <w:tr>
        <w:tc>
          <w:tcPr/>
          <w:p>
            <w:pPr>
              <w:pStyle w:val="Compact"/>
              <w:jc w:val="left"/>
            </w:pPr>
            <w:r>
              <w:t xml:space="preserve">Energy Consumption in Use Phase</w:t>
            </w:r>
          </w:p>
        </w:tc>
        <w:tc>
          <w:tcPr/>
          <w:p>
            <w:pPr>
              <w:pStyle w:val="Compact"/>
              <w:jc w:val="left"/>
            </w:pPr>
            <w:r>
              <w:t xml:space="preserve">30.00 (from</w:t>
            </w:r>
            <w:r>
              <w:t xml:space="preserve"> </w:t>
            </w:r>
            <w:r>
              <w:rPr>
                <w:bCs/>
                <w:b/>
              </w:rPr>
              <w:t xml:space="preserve">mpvimhfjux</w:t>
            </w:r>
            <w:r>
              <w:t xml:space="preserve"> </w:t>
            </w:r>
            <w:r>
              <w:t xml:space="preserve">over</w:t>
            </w:r>
            <w:r>
              <w:t xml:space="preserve"> </w:t>
            </w:r>
            <w:r>
              <w:rPr>
                <w:bCs/>
                <w:b/>
              </w:rPr>
              <w:t xml:space="preserve">ezpfymdrpn</w:t>
            </w:r>
            <w:r>
              <w:t xml:space="preserve">)</w:t>
            </w:r>
          </w:p>
        </w:tc>
        <w:tc>
          <w:tcPr/>
          <w:p>
            <w:pPr>
              <w:pStyle w:val="Compact"/>
              <w:jc w:val="left"/>
            </w:pPr>
            <w:r>
              <w:t xml:space="preserve">kWh</w:t>
            </w:r>
          </w:p>
        </w:tc>
        <w:tc>
          <w:tcPr/>
          <w:p>
            <w:pPr>
              <w:pStyle w:val="Compact"/>
              <w:jc w:val="left"/>
            </w:pPr>
            <w:r>
              <w:t xml:space="preserve">0.28 (Europe Grid Mix)</w:t>
            </w:r>
          </w:p>
        </w:tc>
        <w:tc>
          <w:tcPr/>
          <w:p>
            <w:pPr>
              <w:pStyle w:val="Compact"/>
              <w:jc w:val="left"/>
            </w:pPr>
            <w:r>
              <w:t xml:space="preserve">8.40</w:t>
            </w:r>
          </w:p>
        </w:tc>
      </w:tr>
      <w:tr>
        <w:tc>
          <w:tcPr>
            <w:gridSpan w:val="4"/>
          </w:tcPr>
          <w:p>
            <w:pPr>
              <w:pStyle w:val="Compact"/>
              <w:jc w:val="right"/>
            </w:pPr>
            <w:r>
              <w:rPr>
                <w:bCs/>
                <w:b/>
              </w:rPr>
              <w:t xml:space="preserve">Total Scope 3, Category 11 Emissions:</w:t>
            </w:r>
          </w:p>
        </w:tc>
        <w:tc>
          <w:tcPr/>
          <w:p>
            <w:pPr>
              <w:pStyle w:val="Compact"/>
              <w:jc w:val="left"/>
            </w:pPr>
            <w:r>
              <w:rPr>
                <w:bCs/>
                <w:b/>
              </w:rPr>
              <w:t xml:space="preserve">8.40</w:t>
            </w:r>
          </w:p>
        </w:tc>
      </w:tr>
    </w:tbl>
    <w:bookmarkEnd w:id="36"/>
    <w:bookmarkStart w:id="37" w:name="X9f66eef2700632e081dfe139021cb724ffcd2c5"/>
    <w:p>
      <w:pPr>
        <w:pStyle w:val="Heading5"/>
      </w:pPr>
      <w:r>
        <w:t xml:space="preserve">Category 12: End-of-Life Treatment of Sold Products</w:t>
      </w:r>
    </w:p>
    <w:tbl>
      <w:tblPr>
        <w:tblStyle w:val="Table"/>
        <w:tblW w:type="auto" w:w="0"/>
        <w:tblLook w:firstRow="1" w:lastRow="1"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Activity</w:t>
            </w:r>
          </w:p>
        </w:tc>
        <w:tc>
          <w:tcPr/>
          <w:p>
            <w:pPr>
              <w:pStyle w:val="Compact"/>
              <w:jc w:val="left"/>
            </w:pPr>
            <w:r>
              <w:t xml:space="preserve">Mass (kg)</w:t>
            </w:r>
          </w:p>
        </w:tc>
        <w:tc>
          <w:tcPr/>
          <w:p>
            <w:pPr>
              <w:pStyle w:val="Compact"/>
              <w:jc w:val="left"/>
            </w:pPr>
            <w:r>
              <w:t xml:space="preserve">EF (kg CO2e/kg)</w:t>
            </w:r>
          </w:p>
        </w:tc>
        <w:tc>
          <w:tcPr/>
          <w:p>
            <w:pPr>
              <w:pStyle w:val="Compact"/>
              <w:jc w:val="left"/>
            </w:pPr>
            <w:r>
              <w:t xml:space="preserve">Emissions (kg CO2e)</w:t>
            </w:r>
          </w:p>
        </w:tc>
        <w:tc>
          <w:tcPr/>
          <w:p>
            <w:pPr>
              <w:pStyle w:val="Compact"/>
            </w:pPr>
          </w:p>
        </w:tc>
      </w:tr>
      <w:tr>
        <w:tc>
          <w:tcPr/>
          <w:p>
            <w:pPr>
              <w:pStyle w:val="Compact"/>
              <w:jc w:val="left"/>
            </w:pPr>
            <w:r>
              <w:t xml:space="preserve">Recycling (Avoided Emissions)</w:t>
            </w:r>
          </w:p>
        </w:tc>
        <w:tc>
          <w:tcPr/>
          <w:p>
            <w:pPr>
              <w:pStyle w:val="Compact"/>
              <w:jc w:val="left"/>
            </w:pPr>
            <w:r>
              <w:t xml:space="preserve">0.28 (60% of recyclable material)</w:t>
            </w:r>
          </w:p>
        </w:tc>
        <w:tc>
          <w:tcPr/>
          <w:p>
            <w:pPr>
              <w:pStyle w:val="Compact"/>
              <w:jc w:val="left"/>
            </w:pPr>
            <w:r>
              <w:t xml:space="preserve">-3.00 (Blended avoided EF for metals/plastics)</w:t>
            </w:r>
          </w:p>
        </w:tc>
        <w:tc>
          <w:tcPr/>
          <w:p>
            <w:pPr>
              <w:pStyle w:val="Compact"/>
              <w:jc w:val="left"/>
            </w:pPr>
            <w:r>
              <w:t xml:space="preserve">-0.86</w:t>
            </w:r>
          </w:p>
        </w:tc>
        <w:tc>
          <w:tcPr/>
          <w:p>
            <w:pPr>
              <w:pStyle w:val="Compact"/>
            </w:pPr>
          </w:p>
        </w:tc>
      </w:tr>
      <w:tr>
        <w:tc>
          <w:tcPr/>
          <w:p>
            <w:pPr>
              <w:pStyle w:val="Compact"/>
              <w:jc w:val="left"/>
            </w:pPr>
            <w:r>
              <w:t xml:space="preserve">Disposal (Landfill/Incineration)</w:t>
            </w:r>
          </w:p>
        </w:tc>
        <w:tc>
          <w:tcPr/>
          <w:p>
            <w:pPr>
              <w:pStyle w:val="Compact"/>
              <w:jc w:val="left"/>
            </w:pPr>
            <w:r>
              <w:t xml:space="preserve">0.18 (40% of product mass)</w:t>
            </w:r>
          </w:p>
        </w:tc>
        <w:tc>
          <w:tcPr/>
          <w:p>
            <w:pPr>
              <w:pStyle w:val="Compact"/>
              <w:jc w:val="left"/>
            </w:pPr>
            <w:r>
              <w:t xml:space="preserve">0.10 (Illustrative)</w:t>
            </w:r>
          </w:p>
        </w:tc>
        <w:tc>
          <w:tcPr/>
          <w:p>
            <w:pPr>
              <w:pStyle w:val="Compact"/>
              <w:jc w:val="left"/>
            </w:pPr>
            <w:r>
              <w:t xml:space="preserve">0.02</w:t>
            </w:r>
          </w:p>
        </w:tc>
        <w:tc>
          <w:tcPr/>
          <w:p>
            <w:pPr>
              <w:pStyle w:val="Compact"/>
            </w:pPr>
          </w:p>
        </w:tc>
      </w:tr>
      <w:tr>
        <w:tc>
          <w:tcPr>
            <w:gridSpan w:val="4"/>
          </w:tcPr>
          <w:p>
            <w:pPr>
              <w:pStyle w:val="Compact"/>
              <w:jc w:val="right"/>
            </w:pPr>
            <w:r>
              <w:rPr>
                <w:bCs/>
                <w:b/>
              </w:rPr>
              <w:t xml:space="preserve">Total Scope 3, Category 12 Emissions:</w:t>
            </w:r>
          </w:p>
        </w:tc>
        <w:tc>
          <w:tcPr/>
          <w:p>
            <w:pPr>
              <w:pStyle w:val="Compact"/>
              <w:jc w:val="left"/>
            </w:pPr>
            <w:r>
              <w:rPr>
                <w:bCs/>
                <w:b/>
              </w:rPr>
              <w:t xml:space="preserve">-0.84</w:t>
            </w:r>
          </w:p>
        </w:tc>
      </w:tr>
    </w:tbl>
    <w:p>
      <w:r>
        <w:pict>
          <v:rect style="width:0;height:1.5pt" o:hralign="center" o:hrstd="t" o:hr="t"/>
        </w:pict>
      </w:r>
    </w:p>
    <w:bookmarkEnd w:id="37"/>
    <w:bookmarkEnd w:id="38"/>
    <w:bookmarkEnd w:id="39"/>
    <w:bookmarkEnd w:id="40"/>
    <w:bookmarkStart w:id="41" w:name="total-product-carbon-footprint-summary"/>
    <w:p>
      <w:pPr>
        <w:pStyle w:val="Heading2"/>
      </w:pPr>
      <w:r>
        <w:t xml:space="preserve">Total Product Carbon Footprint Summary</w:t>
      </w:r>
    </w:p>
    <w:p>
      <w:pPr>
        <w:pStyle w:val="FirstParagraph"/>
      </w:pPr>
      <w:r>
        <w:t xml:space="preserve">The aggregate PCF for one functional unit of izrnufelzv across its lifecycle is summarized below:</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Lifecycle Stage</w:t>
            </w:r>
          </w:p>
        </w:tc>
        <w:tc>
          <w:tcPr/>
          <w:p>
            <w:pPr>
              <w:pStyle w:val="Compact"/>
              <w:jc w:val="left"/>
            </w:pPr>
            <w:r>
              <w:t xml:space="preserve">Emissions (kg CO2e)</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2.14</w:t>
            </w:r>
          </w:p>
        </w:tc>
      </w:tr>
      <w:tr>
        <w:tc>
          <w:tcPr/>
          <w:p>
            <w:pPr>
              <w:pStyle w:val="Compact"/>
              <w:jc w:val="left"/>
            </w:pPr>
            <w:r>
              <w:t xml:space="preserve">Scope 3, Category 1</w:t>
            </w:r>
          </w:p>
        </w:tc>
        <w:tc>
          <w:tcPr/>
          <w:p>
            <w:pPr>
              <w:pStyle w:val="Compact"/>
              <w:jc w:val="left"/>
            </w:pPr>
            <w:r>
              <w:t xml:space="preserve">Purchased Goods &amp; Services (Materials)</w:t>
            </w:r>
          </w:p>
        </w:tc>
        <w:tc>
          <w:tcPr/>
          <w:p>
            <w:pPr>
              <w:pStyle w:val="Compact"/>
              <w:jc w:val="left"/>
            </w:pPr>
            <w:r>
              <w:t xml:space="preserve">3.03</w:t>
            </w:r>
          </w:p>
        </w:tc>
      </w:tr>
      <w:tr>
        <w:tc>
          <w:tcPr/>
          <w:p>
            <w:pPr>
              <w:pStyle w:val="Compact"/>
              <w:jc w:val="left"/>
            </w:pPr>
            <w:r>
              <w:t xml:space="preserve">Scope 3, Category 4</w:t>
            </w:r>
          </w:p>
        </w:tc>
        <w:tc>
          <w:tcPr/>
          <w:p>
            <w:pPr>
              <w:pStyle w:val="Compact"/>
              <w:jc w:val="left"/>
            </w:pPr>
            <w:r>
              <w:t xml:space="preserve">Upstream Transportation &amp; Distribution</w:t>
            </w:r>
          </w:p>
        </w:tc>
        <w:tc>
          <w:tcPr/>
          <w:p>
            <w:pPr>
              <w:pStyle w:val="Compact"/>
              <w:jc w:val="left"/>
            </w:pPr>
            <w:r>
              <w:t xml:space="preserve">0.07</w:t>
            </w:r>
          </w:p>
        </w:tc>
      </w:tr>
      <w:tr>
        <w:tc>
          <w:tcPr/>
          <w:p>
            <w:pPr>
              <w:pStyle w:val="Compact"/>
              <w:jc w:val="left"/>
            </w:pPr>
            <w:r>
              <w:t xml:space="preserve">Scope 3, Category 9</w:t>
            </w:r>
          </w:p>
        </w:tc>
        <w:tc>
          <w:tcPr/>
          <w:p>
            <w:pPr>
              <w:pStyle w:val="Compact"/>
              <w:jc w:val="left"/>
            </w:pPr>
            <w:r>
              <w:t xml:space="preserve">Downstream Transportation &amp; Distribution</w:t>
            </w:r>
          </w:p>
        </w:tc>
        <w:tc>
          <w:tcPr/>
          <w:p>
            <w:pPr>
              <w:pStyle w:val="Compact"/>
              <w:jc w:val="left"/>
            </w:pPr>
            <w:r>
              <w:t xml:space="preserve">0.10</w:t>
            </w:r>
          </w:p>
        </w:tc>
      </w:tr>
      <w:tr>
        <w:tc>
          <w:tcPr/>
          <w:p>
            <w:pPr>
              <w:pStyle w:val="Compact"/>
              <w:jc w:val="left"/>
            </w:pPr>
            <w:r>
              <w:t xml:space="preserve">Scope 3, Category 11</w:t>
            </w:r>
          </w:p>
        </w:tc>
        <w:tc>
          <w:tcPr/>
          <w:p>
            <w:pPr>
              <w:pStyle w:val="Compact"/>
              <w:jc w:val="left"/>
            </w:pPr>
            <w:r>
              <w:t xml:space="preserve">Use of Sold Products</w:t>
            </w:r>
          </w:p>
        </w:tc>
        <w:tc>
          <w:tcPr/>
          <w:p>
            <w:pPr>
              <w:pStyle w:val="Compact"/>
              <w:jc w:val="left"/>
            </w:pPr>
            <w:r>
              <w:t xml:space="preserve">8.40</w:t>
            </w:r>
          </w:p>
        </w:tc>
      </w:tr>
      <w:tr>
        <w:tc>
          <w:tcPr/>
          <w:p>
            <w:pPr>
              <w:pStyle w:val="Compact"/>
              <w:jc w:val="left"/>
            </w:pPr>
            <w:r>
              <w:t xml:space="preserve">Scope 3, Category 12</w:t>
            </w:r>
          </w:p>
        </w:tc>
        <w:tc>
          <w:tcPr/>
          <w:p>
            <w:pPr>
              <w:pStyle w:val="Compact"/>
              <w:jc w:val="left"/>
            </w:pPr>
            <w:r>
              <w:t xml:space="preserve">End-of-Life Treatment of Sold Products</w:t>
            </w:r>
          </w:p>
        </w:tc>
        <w:tc>
          <w:tcPr/>
          <w:p>
            <w:pPr>
              <w:pStyle w:val="Compact"/>
              <w:jc w:val="left"/>
            </w:pPr>
            <w:r>
              <w:t xml:space="preserve">-0.84</w:t>
            </w:r>
          </w:p>
        </w:tc>
      </w:tr>
      <w:tr>
        <w:tc>
          <w:tcPr>
            <w:gridSpan w:val="2"/>
          </w:tcPr>
          <w:p>
            <w:pPr>
              <w:pStyle w:val="Compact"/>
              <w:jc w:val="right"/>
            </w:pPr>
            <w:r>
              <w:rPr>
                <w:bCs/>
                <w:b/>
              </w:rPr>
              <w:t xml:space="preserve">Total PCF for izrnufelzv:</w:t>
            </w:r>
          </w:p>
        </w:tc>
        <w:tc>
          <w:tcPr/>
          <w:p>
            <w:pPr>
              <w:pStyle w:val="Compact"/>
              <w:jc w:val="left"/>
            </w:pPr>
            <w:r>
              <w:rPr>
                <w:bCs/>
                <w:b/>
              </w:rPr>
              <w:t xml:space="preserve">12.90</w:t>
            </w:r>
          </w:p>
        </w:tc>
      </w:tr>
    </w:tbl>
    <w:p>
      <w:r>
        <w:pict>
          <v:rect style="width:0;height:1.5pt" o:hralign="center" o:hrstd="t" o:hr="t"/>
        </w:pict>
      </w:r>
    </w:p>
    <w:bookmarkEnd w:id="41"/>
    <w:bookmarkStart w:id="44" w:name="review-report"/>
    <w:p>
      <w:pPr>
        <w:pStyle w:val="Heading2"/>
      </w:pPr>
      <w:r>
        <w:t xml:space="preserve">5. Review &amp; Report</w:t>
      </w:r>
    </w:p>
    <w:bookmarkStart w:id="42" w:name="hotspots-and-reliability"/>
    <w:p>
      <w:pPr>
        <w:pStyle w:val="Heading3"/>
      </w:pPr>
      <w:r>
        <w:t xml:space="preserve">Hotspots and Reliability</w:t>
      </w:r>
    </w:p>
    <w:p>
      <w:pPr>
        <w:pStyle w:val="FirstParagraph"/>
      </w:pPr>
      <w:r>
        <w:t xml:space="preserve">The analysis reveals the primary emission hotspots for izrnufelzv:</w:t>
      </w:r>
    </w:p>
    <w:p>
      <w:pPr>
        <w:numPr>
          <w:ilvl w:val="0"/>
          <w:numId w:val="1009"/>
        </w:numPr>
        <w:pStyle w:val="Compact"/>
      </w:pPr>
      <w:r>
        <w:rPr>
          <w:bCs/>
          <w:b/>
        </w:rPr>
        <w:t xml:space="preserve">Use Phase (65.1% of total PCF):</w:t>
      </w:r>
      <w:r>
        <w:t xml:space="preserve"> </w:t>
      </w:r>
      <w:r>
        <w:t xml:space="preserve">This stage dominates the product\'s footprint due to ongoing energy consumption over its lifespan. Strategies for reduction should focus on improving energy efficiency of the product during use and encouraging the use of renewable energy sources by end-users.</w:t>
      </w:r>
    </w:p>
    <w:p>
      <w:pPr>
        <w:numPr>
          <w:ilvl w:val="0"/>
          <w:numId w:val="1009"/>
        </w:numPr>
        <w:pStyle w:val="Compact"/>
      </w:pPr>
      <w:r>
        <w:rPr>
          <w:bCs/>
          <w:b/>
        </w:rPr>
        <w:t xml:space="preserve">Material Production (23.5% of total PCF):</w:t>
      </w:r>
      <w:r>
        <w:t xml:space="preserve"> </w:t>
      </w:r>
      <w:r>
        <w:t xml:space="preserve">The raw materials, particularly the PCB assembly, ABS plastic, and lithium-ion battery, contribute significantly. Efforts to procure lower-carbon materials, optimize material usage, and explore recycled content are crucial.</w:t>
      </w:r>
    </w:p>
    <w:p>
      <w:pPr>
        <w:numPr>
          <w:ilvl w:val="0"/>
          <w:numId w:val="1009"/>
        </w:numPr>
        <w:pStyle w:val="Compact"/>
      </w:pPr>
      <w:r>
        <w:rPr>
          <w:bCs/>
          <w:b/>
        </w:rPr>
        <w:t xml:space="preserve">Manufacturing (16.6% of total PCF):</w:t>
      </w:r>
      <w:r>
        <w:t xml:space="preserve"> </w:t>
      </w:r>
      <w:r>
        <w:t xml:space="preserve">While less than the use phase, electricity consumption in production remains a notable contributor. Increasing renewable energy procurement beyond the current</w:t>
      </w:r>
      <w:r>
        <w:t xml:space="preserve"> </w:t>
      </w:r>
      <w:r>
        <w:rPr>
          <w:bCs/>
          <w:b/>
        </w:rPr>
        <w:t xml:space="preserve">eupmggzrtz</w:t>
      </w:r>
      <w:r>
        <w:t xml:space="preserve"> </w:t>
      </w:r>
      <w:r>
        <w:t xml:space="preserve">(30% assumed) for the manufacturing facility in China is vital.</w:t>
      </w:r>
    </w:p>
    <w:p>
      <w:pPr>
        <w:numPr>
          <w:ilvl w:val="0"/>
          <w:numId w:val="1009"/>
        </w:numPr>
        <w:pStyle w:val="Compact"/>
      </w:pPr>
      <w:r>
        <w:rPr>
          <w:bCs/>
          <w:b/>
        </w:rPr>
        <w:t xml:space="preserve">End-of-Life (Net Avoided):</w:t>
      </w:r>
      <w:r>
        <w:t xml:space="preserve"> </w:t>
      </w:r>
      <w:r>
        <w:t xml:space="preserve">The assumed high recyclability leads to net avoided emissions, showcasing the positive impact of circular economy principles when effectively implemented.</w:t>
      </w:r>
    </w:p>
    <w:p>
      <w:pPr>
        <w:pStyle w:val="FirstParagraph"/>
      </w:pPr>
      <w:r>
        <w:t xml:space="preserve">The reliability of this PCF is contingent on the accuracy of the underlying data. As some parameters were provided as placeholders (e.g.,</w:t>
      </w:r>
      <w:r>
        <w:t xml:space="preserve"> </w:t>
      </w:r>
      <w:r>
        <w:rPr>
          <w:bCs/>
          <w:b/>
        </w:rPr>
        <w:t xml:space="preserve">ltsitqfq</w:t>
      </w:r>
      <w:r>
        <w:t xml:space="preserve">,</w:t>
      </w:r>
      <w:r>
        <w:t xml:space="preserve"> </w:t>
      </w:r>
      <w:r>
        <w:rPr>
          <w:bCs/>
          <w:b/>
        </w:rPr>
        <w:t xml:space="preserve">nndmulwmhd</w:t>
      </w:r>
      <w:r>
        <w:t xml:space="preserve">,</w:t>
      </w:r>
      <w:r>
        <w:t xml:space="preserve"> </w:t>
      </w:r>
      <w:r>
        <w:rPr>
          <w:bCs/>
          <w:b/>
        </w:rPr>
        <w:t xml:space="preserve">eupmggzrtz</w:t>
      </w:r>
      <w:r>
        <w:t xml:space="preserve">, etc.), illustrative data and industry averages were used. For enhanced accuracy, hxezfnwumx should prioritize collecting primary, product-specific data for all lifecycle stages. The GHG Protocol\'s 2026 updates emphasize a shift towards higher data quality and transparency through mandatory data disaggregation by source type.</w:t>
      </w:r>
    </w:p>
    <w:bookmarkEnd w:id="42"/>
    <w:bookmarkStart w:id="43" w:name="recommendations"/>
    <w:p>
      <w:pPr>
        <w:pStyle w:val="Heading3"/>
      </w:pPr>
      <w:r>
        <w:t xml:space="preserve">Recommendations</w:t>
      </w:r>
    </w:p>
    <w:p>
      <w:pPr>
        <w:numPr>
          <w:ilvl w:val="0"/>
          <w:numId w:val="1010"/>
        </w:numPr>
        <w:pStyle w:val="Compact"/>
      </w:pPr>
      <w:r>
        <w:rPr>
          <w:bCs/>
          <w:b/>
        </w:rPr>
        <w:t xml:space="preserve">Enhance Product Energy Efficiency:</w:t>
      </w:r>
      <w:r>
        <w:t xml:space="preserve"> </w:t>
      </w:r>
      <w:r>
        <w:t xml:space="preserve">Focus on design improvements to reduce energy consumption during the</w:t>
      </w:r>
      <w:r>
        <w:t xml:space="preserve"> </w:t>
      </w:r>
      <w:r>
        <w:rPr>
          <w:bCs/>
          <w:b/>
        </w:rPr>
        <w:t xml:space="preserve">ezpfymdrpn</w:t>
      </w:r>
      <w:r>
        <w:t xml:space="preserve"> </w:t>
      </w:r>
      <w:r>
        <w:t xml:space="preserve">(assumed 3 years) lifespan, addressing the largest hotspot.</w:t>
      </w:r>
    </w:p>
    <w:p>
      <w:pPr>
        <w:numPr>
          <w:ilvl w:val="0"/>
          <w:numId w:val="1010"/>
        </w:numPr>
        <w:pStyle w:val="Compact"/>
      </w:pPr>
      <w:r>
        <w:rPr>
          <w:bCs/>
          <w:b/>
        </w:rPr>
        <w:t xml:space="preserve">Decarbonize Supply Chain:</w:t>
      </w:r>
      <w:r>
        <w:t xml:space="preserve"> </w:t>
      </w:r>
      <w:r>
        <w:t xml:space="preserve">Engage with suppliers to reduce the embedded carbon in key materials and components, particularly for the components identified in the illustrative BOM.</w:t>
      </w:r>
    </w:p>
    <w:p>
      <w:pPr>
        <w:numPr>
          <w:ilvl w:val="0"/>
          <w:numId w:val="1010"/>
        </w:numPr>
        <w:pStyle w:val="Compact"/>
      </w:pPr>
      <w:r>
        <w:rPr>
          <w:bCs/>
          <w:b/>
        </w:rPr>
        <w:t xml:space="preserve">Increase Renewable Energy Procurement:</w:t>
      </w:r>
      <w:r>
        <w:t xml:space="preserve"> </w:t>
      </w:r>
      <w:r>
        <w:t xml:space="preserve">Expand the use of renewable energy at manufacturing facilities in China, aiming for higher than the current</w:t>
      </w:r>
      <w:r>
        <w:t xml:space="preserve"> </w:t>
      </w:r>
      <w:r>
        <w:rPr>
          <w:bCs/>
          <w:b/>
        </w:rPr>
        <w:t xml:space="preserve">eupmggzrtz</w:t>
      </w:r>
      <w:r>
        <w:t xml:space="preserve"> </w:t>
      </w:r>
      <w:r>
        <w:t xml:space="preserve">(assumed 30%) usage to reduce Scope 2 emissions.</w:t>
      </w:r>
    </w:p>
    <w:p>
      <w:pPr>
        <w:numPr>
          <w:ilvl w:val="0"/>
          <w:numId w:val="1010"/>
        </w:numPr>
        <w:pStyle w:val="Compact"/>
      </w:pPr>
      <w:r>
        <w:rPr>
          <w:bCs/>
          <w:b/>
        </w:rPr>
        <w:t xml:space="preserve">Optimize Logistics:</w:t>
      </w:r>
      <w:r>
        <w:t xml:space="preserve"> </w:t>
      </w:r>
      <w:r>
        <w:t xml:space="preserve">Investigate more efficient transportation modes and routes, and consolidate shipments to reduce emissions from</w:t>
      </w:r>
      <w:r>
        <w:t xml:space="preserve"> </w:t>
      </w:r>
      <w:r>
        <w:rPr>
          <w:bCs/>
          <w:b/>
        </w:rPr>
        <w:t xml:space="preserve">Select Mode</w:t>
      </w:r>
      <w:r>
        <w:t xml:space="preserve"> </w:t>
      </w:r>
      <w:r>
        <w:t xml:space="preserve">and</w:t>
      </w:r>
      <w:r>
        <w:t xml:space="preserve"> </w:t>
      </w:r>
      <w:r>
        <w:rPr>
          <w:bCs/>
          <w:b/>
        </w:rPr>
        <w:t xml:space="preserve">Delivery Type</w:t>
      </w:r>
      <w:r>
        <w:t xml:space="preserve"> </w:t>
      </w:r>
      <w:r>
        <w:t xml:space="preserve">transport.</w:t>
      </w:r>
    </w:p>
    <w:p>
      <w:pPr>
        <w:numPr>
          <w:ilvl w:val="0"/>
          <w:numId w:val="1010"/>
        </w:numPr>
        <w:pStyle w:val="Compact"/>
      </w:pPr>
      <w:r>
        <w:rPr>
          <w:bCs/>
          <w:b/>
        </w:rPr>
        <w:t xml:space="preserve">Strengthen Circular Economy Initiatives:</w:t>
      </w:r>
      <w:r>
        <w:t xml:space="preserve"> </w:t>
      </w:r>
      <w:r>
        <w:t xml:space="preserve">Continue to support and expand</w:t>
      </w:r>
      <w:r>
        <w:t xml:space="preserve"> </w:t>
      </w:r>
      <w:r>
        <w:rPr>
          <w:bCs/>
          <w:b/>
        </w:rPr>
        <w:t xml:space="preserve">rerwrugsxh</w:t>
      </w:r>
      <w:r>
        <w:t xml:space="preserve"> </w:t>
      </w:r>
      <w:r>
        <w:t xml:space="preserve">(circular/take-back programs) to maximize material recovery and reuse, reducing the need for virgin materials and further enhancing end-of-life benefits.</w:t>
      </w:r>
    </w:p>
    <w:p>
      <w:pPr>
        <w:numPr>
          <w:ilvl w:val="0"/>
          <w:numId w:val="1010"/>
        </w:numPr>
        <w:pStyle w:val="Compact"/>
      </w:pPr>
      <w:r>
        <w:rPr>
          <w:bCs/>
          <w:b/>
        </w:rPr>
        <w:t xml:space="preserve">Data Collection Improvement:</w:t>
      </w:r>
      <w:r>
        <w:t xml:space="preserve"> </w:t>
      </w:r>
      <w:r>
        <w:t xml:space="preserve">Implement systems for collecting primary activity data for all Scope 3 categories to meet the 95% completeness rule and disaggregation requirements of the GHG Protocol\'s 2026 updates.</w:t>
      </w:r>
    </w:p>
    <w:p>
      <w:r>
        <w:pict>
          <v:rect style="width:0;height:1.5pt" o:hralign="center" o:hrstd="t" o:hr="t"/>
        </w:pict>
      </w:r>
    </w:p>
    <w:bookmarkEnd w:id="43"/>
    <w:bookmarkEnd w:id="44"/>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izrnufelzv</dc:title>
  <dc:creator/>
  <dc:description>High-detail Product Carbon Footprint (PCF) analysis for izrnufelzv, performed by Senior Sustainability Consultant lwphnszlzy for hxezfnwumx, adhering to GHG Protocol and 2026 updates.</dc:description>
  <dc:language>en</dc:language>
  <cp:keywords/>
  <dcterms:created xsi:type="dcterms:W3CDTF">2026-07-15T10:30:16Z</dcterms:created>
  <dcterms:modified xsi:type="dcterms:W3CDTF">2026-07-15T10:30:16Z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