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itnwyprvvg</w:t>
      </w:r>
    </w:p>
    <w:p>
      <w:pPr>
        <w:pStyle w:val="FirstParagraph"/>
      </w:pPr>
      <w:r>
        <w:t xml:space="preserve">carboncalcpcf.com</w:t>
      </w:r>
    </w:p>
    <w:bookmarkStart w:id="22" w:name="Xf2e6ab5be446359d80f42f50d41e46314dfe19d"/>
    <w:p>
      <w:pPr>
        <w:pStyle w:val="Heading1"/>
      </w:pPr>
      <w:r>
        <w:t xml:space="preserve">Product Carbon Footprint (PCF) Analysis Report</w:t>
      </w:r>
    </w:p>
    <w:bookmarkStart w:id="20" w:name="for-product-itnwyprvvg"/>
    <w:p>
      <w:pPr>
        <w:pStyle w:val="Heading2"/>
      </w:pPr>
      <w:r>
        <w:t xml:space="preserve">For Product: itnwyprvvg</w:t>
      </w:r>
    </w:p>
    <w:bookmarkEnd w:id="20"/>
    <w:bookmarkStart w:id="21" w:name="company-kqoonuxouz"/>
    <w:p>
      <w:pPr>
        <w:pStyle w:val="Heading2"/>
      </w:pPr>
      <w:r>
        <w:t xml:space="preserve">Company: kqoonuxouz</w:t>
      </w:r>
    </w:p>
    <w:p>
      <w:pPr>
        <w:pStyle w:val="FirstParagraph"/>
      </w:pPr>
      <w:r>
        <w:t xml:space="preserve">Protocol Data (Accounting Standard):</w:t>
      </w:r>
      <w:r>
        <w:t xml:space="preserve"> </w:t>
      </w:r>
      <w:r>
        <w:rPr>
          <w:bCs/>
          <w:b/>
        </w:rPr>
        <w:t xml:space="preserve">GHG Protocol</w:t>
      </w:r>
    </w:p>
    <w:p>
      <w:pPr>
        <w:pStyle w:val="BodyText"/>
      </w:pPr>
      <w:r>
        <w:t xml:space="preserve">Senior Sustainability Consultant:</w:t>
      </w:r>
      <w:r>
        <w:t xml:space="preserve"> </w:t>
      </w:r>
      <w:r>
        <w:rPr>
          <w:bCs/>
          <w:b/>
        </w:rPr>
        <w:t xml:space="preserve">woluvqxmgl</w:t>
      </w:r>
    </w:p>
    <w:p>
      <w:pPr>
        <w:pStyle w:val="BodyText"/>
      </w:pPr>
      <w:r>
        <w:t xml:space="preserve">*Disclaimer: This report is generated based on available data and industry standards, including specific parameters provided by the user. While efforts are made for accuracy, certain emission factors and assumptions are illustrative for demonstration purposes where specific database access is not feasible.</w:t>
      </w:r>
    </w:p>
    <w:bookmarkEnd w:id="21"/>
    <w:bookmarkEnd w:id="22"/>
    <w:p>
      <w:pPr>
        <w:pStyle w:val="BodyText"/>
      </w:pPr>
      <w:r>
        <w:t xml:space="preserve">Product Carbon Footprint Analysis Report</w:t>
      </w:r>
    </w:p>
    <w:p>
      <w:pPr>
        <w:pStyle w:val="BodyText"/>
      </w:pPr>
      <w:r>
        <w:t xml:space="preserve">Generated Date: May 20, 2026</w:t>
      </w:r>
    </w:p>
    <w:bookmarkStart w:id="23" w:name="executive-summary"/>
    <w:p>
      <w:pPr>
        <w:pStyle w:val="Heading1"/>
      </w:pPr>
      <w:r>
        <w:t xml:space="preserve">Executive Summary</w:t>
      </w:r>
    </w:p>
    <w:p>
      <w:pPr>
        <w:pStyle w:val="FirstParagraph"/>
      </w:pPr>
      <w:r>
        <w:t xml:space="preserve">This report presents a high-detail Product Carbon Footprint (PCF) analysis for the product "itnwyprvvg", manufactured by "kqoonuxouz". The analysis was conducted by "woluvqxmgl", Senior Sustainability Consultant, adhering to the GHG Protocol accounting standard, including the 2026 Land Sector and Removals (LSR) Standard update and ensuring over 95% Scope 3 coverage. The primary goal is to quantify the greenhouse gas emissions associated with the product\'s lifecycle, identify emission hotspots, and provide a basis for informed sustainability strategies.</w:t>
      </w:r>
    </w:p>
    <w:p>
      <w:pPr>
        <w:pStyle w:val="BodyText"/>
      </w:pPr>
      <w:r>
        <w:t xml:space="preserve">The assessment covers the lifecycle from "factory_gate", with a geographic focus on China for final production and Europe for the supply chain. Key insights include a detailed breakdown of emissions across material acquisition, manufacturing, transport, use phase, and end-of-life, utilizing specific company data for enhanced accuracy.</w:t>
      </w:r>
    </w:p>
    <w:p>
      <w:r>
        <w:pict>
          <v:rect style="width:0;height:1.5pt" o:hralign="center" o:hrstd="t" o:hr="t"/>
        </w:pict>
      </w:r>
    </w:p>
    <w:bookmarkEnd w:id="23"/>
    <w:bookmarkStart w:id="29" w:name="define-scope"/>
    <w:p>
      <w:pPr>
        <w:pStyle w:val="Heading1"/>
      </w:pPr>
      <w:r>
        <w:t xml:space="preserve">1. Define Scope</w:t>
      </w:r>
    </w:p>
    <w:p>
      <w:pPr>
        <w:pStyle w:val="FirstParagraph"/>
      </w:pPr>
      <w:r>
        <w:t xml:space="preserve">The first step in any PCF analysis is to clearly define the scope of the assessment, ensuring consistency and comparability.</w:t>
      </w:r>
    </w:p>
    <w:bookmarkStart w:id="24"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itnwyprvvg</w:t>
      </w:r>
    </w:p>
    <w:p>
      <w:pPr>
        <w:numPr>
          <w:ilvl w:val="0"/>
          <w:numId w:val="1001"/>
        </w:numPr>
        <w:pStyle w:val="Compact"/>
      </w:pPr>
      <w:r>
        <w:t xml:space="preserve">The functional unit serves as a reference basis for quantifying inputs and outputs, allowing for a standardized comparison of products or services.</w:t>
      </w:r>
    </w:p>
    <w:bookmarkEnd w:id="24"/>
    <w:bookmarkStart w:id="25"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 Gate</w:t>
      </w:r>
    </w:p>
    <w:p>
      <w:pPr>
        <w:numPr>
          <w:ilvl w:val="0"/>
          <w:numId w:val="1002"/>
        </w:numPr>
        <w:pStyle w:val="Compact"/>
      </w:pPr>
      <w:r>
        <w:t xml:space="preserve">This "Cradle-to-Gate" boundary includes raw material extraction, transport to manufacturing, and the manufacturing processes up to the point the product leaves the factory gate. For this report, we expand beyond "factory_gate" to also include the "use phase" and "end-of-life" based on user requirements for a more comprehensive "Cradle-to-Grave" perspective, encompassing:</w:t>
      </w:r>
    </w:p>
    <w:p>
      <w:pPr>
        <w:numPr>
          <w:ilvl w:val="1"/>
          <w:numId w:val="1003"/>
        </w:numPr>
        <w:pStyle w:val="Compact"/>
      </w:pPr>
      <w:r>
        <w:t xml:space="preserve">Raw Material Acquisition &amp; Pre-processing (Scope 3 - Upstream)</w:t>
      </w:r>
    </w:p>
    <w:p>
      <w:pPr>
        <w:numPr>
          <w:ilvl w:val="1"/>
          <w:numId w:val="1003"/>
        </w:numPr>
        <w:pStyle w:val="Compact"/>
      </w:pPr>
      <w:r>
        <w:t xml:space="preserve">Manufacturing (Scope 1 &amp; 2)</w:t>
      </w:r>
    </w:p>
    <w:p>
      <w:pPr>
        <w:numPr>
          <w:ilvl w:val="1"/>
          <w:numId w:val="1003"/>
        </w:numPr>
        <w:pStyle w:val="Compact"/>
      </w:pPr>
      <w:r>
        <w:t xml:space="preserve">Transport (Upstream &amp; Downstream - Scope 3)</w:t>
      </w:r>
    </w:p>
    <w:p>
      <w:pPr>
        <w:numPr>
          <w:ilvl w:val="1"/>
          <w:numId w:val="1003"/>
        </w:numPr>
        <w:pStyle w:val="Compact"/>
      </w:pPr>
      <w:r>
        <w:t xml:space="preserve">Use Phase (Scope 3 - Downstream)</w:t>
      </w:r>
    </w:p>
    <w:p>
      <w:pPr>
        <w:numPr>
          <w:ilvl w:val="1"/>
          <w:numId w:val="1003"/>
        </w:numPr>
        <w:pStyle w:val="Compact"/>
      </w:pPr>
      <w:r>
        <w:t xml:space="preserve">End-of-Life (Scope 3 - Downstream)</w:t>
      </w:r>
    </w:p>
    <w:bookmarkEnd w:id="25"/>
    <w:bookmarkStart w:id="26" w:name="geographic-scope"/>
    <w:p>
      <w:pPr>
        <w:pStyle w:val="Heading3"/>
      </w:pPr>
      <w:r>
        <w:t xml:space="preserve">1.3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w:t>
      </w:r>
    </w:p>
    <w:p>
      <w:pPr>
        <w:numPr>
          <w:ilvl w:val="0"/>
          <w:numId w:val="1004"/>
        </w:numPr>
        <w:pStyle w:val="Compact"/>
      </w:pPr>
      <w:r>
        <w:t xml:space="preserve">This dual focus helps to capture regional specificities in energy mixes, transport networks, and material sourcing, which can significantly influence emission factors.</w:t>
      </w:r>
    </w:p>
    <w:bookmarkEnd w:id="26"/>
    <w:bookmarkStart w:id="27" w:name="accounting-standard"/>
    <w:p>
      <w:pPr>
        <w:pStyle w:val="Heading3"/>
      </w:pPr>
      <w:r>
        <w:t xml:space="preserve">1.4 Accounting Standard</w:t>
      </w:r>
    </w:p>
    <w:p>
      <w:pPr>
        <w:numPr>
          <w:ilvl w:val="0"/>
          <w:numId w:val="1005"/>
        </w:numPr>
        <w:pStyle w:val="Compact"/>
      </w:pPr>
      <w:r>
        <w:rPr>
          <w:bCs/>
          <w:b/>
        </w:rPr>
        <w:t xml:space="preserve">Accounting Standard:</w:t>
      </w:r>
      <w:r>
        <w:t xml:space="preserve"> </w:t>
      </w:r>
      <w:r>
        <w:t xml:space="preserve">GHG Protocol</w:t>
      </w:r>
    </w:p>
    <w:p>
      <w:pPr>
        <w:numPr>
          <w:ilvl w:val="0"/>
          <w:numId w:val="1005"/>
        </w:numPr>
        <w:pStyle w:val="Compact"/>
      </w:pPr>
      <w:r>
        <w:t xml:space="preserve">This analysis strictly adheres to the Greenhouse Gas (GHG) Protocol Corporate Standard and Product Standard guidelines. This includes the categorization of emissions into Scope 1 (direct emissions), Scope 2 (indirect emissions from purchased energy), and Scope 3 (all other indirect emissions in the value chain).</w:t>
      </w:r>
    </w:p>
    <w:p>
      <w:pPr>
        <w:numPr>
          <w:ilvl w:val="0"/>
          <w:numId w:val="1005"/>
        </w:numPr>
        <w:pStyle w:val="Compact"/>
      </w:pPr>
      <w:r>
        <w:rPr>
          <w:bCs/>
          <w:b/>
        </w:rPr>
        <w:t xml:space="preserve">2026 Land Sector and Removals (LSR) Update:</w:t>
      </w:r>
      <w:r>
        <w:t xml:space="preserve"> </w:t>
      </w:r>
      <w:r>
        <w:t xml:space="preserve">The analysis incorporates considerations from the forthcoming GHG Protocol Land Sector and Removals (LSR) Standard, specifically looking for any land-use change impacts or carbon removals associated with raw materials where data allows.</w:t>
      </w:r>
    </w:p>
    <w:p>
      <w:pPr>
        <w:numPr>
          <w:ilvl w:val="0"/>
          <w:numId w:val="1005"/>
        </w:numPr>
        <w:pStyle w:val="Compact"/>
      </w:pPr>
      <w:r>
        <w:rPr>
          <w:bCs/>
          <w:b/>
        </w:rPr>
        <w:t xml:space="preserve">Scope 3 Compliance:</w:t>
      </w:r>
      <w:r>
        <w:t xml:space="preserve"> </w:t>
      </w:r>
      <w:r>
        <w:t xml:space="preserve">A rigorous effort has been made to ensure at least 95% coverage for Scope 3 reporting, meeting the 2026 requirements for comprehensive value chain transparency.</w:t>
      </w:r>
    </w:p>
    <w:bookmarkEnd w:id="27"/>
    <w:bookmarkStart w:id="28" w:name="allocation"/>
    <w:p>
      <w:pPr>
        <w:pStyle w:val="Heading3"/>
      </w:pPr>
      <w:r>
        <w:t xml:space="preserve">1.5 Allocation</w:t>
      </w:r>
    </w:p>
    <w:p>
      <w:pPr>
        <w:numPr>
          <w:ilvl w:val="0"/>
          <w:numId w:val="1006"/>
        </w:numPr>
        <w:pStyle w:val="Compact"/>
      </w:pPr>
      <w:r>
        <w:t xml:space="preserve">For this single product PCF, 100% of relevant emissions are allocated directly to the functional unit (1.0 unit of itnwyprvvg). No co-product or recycling allocation complexities are assumed beyond the direct impact of materials and end-of-life scenarios.</w:t>
      </w:r>
    </w:p>
    <w:p>
      <w:r>
        <w:pict>
          <v:rect style="width:0;height:1.5pt" o:hralign="center" o:hrstd="t" o:hr="t"/>
        </w:pict>
      </w:r>
    </w:p>
    <w:bookmarkEnd w:id="28"/>
    <w:bookmarkEnd w:id="29"/>
    <w:bookmarkStart w:id="35" w:name="map-lifecycle-3.-collect-data"/>
    <w:p>
      <w:pPr>
        <w:pStyle w:val="Heading1"/>
      </w:pPr>
      <w:r>
        <w:t xml:space="preserve">2. Map Lifecycle &amp; 3. Collect Data</w:t>
      </w:r>
    </w:p>
    <w:p>
      <w:pPr>
        <w:pStyle w:val="FirstParagraph"/>
      </w:pPr>
      <w:r>
        <w:t xml:space="preserve">This section details the lifecycle stages considered and the specific data collected for each, including a breakdown of materials and energy inputs. Illustrative industry-average emission factors are used for stages where specific database access (e.g., Ecoinvent, DEFRA) is not feasible, as specified.</w:t>
      </w:r>
    </w:p>
    <w:bookmarkStart w:id="30" w:name="detailed-bill-of-materials-bom-analysis"/>
    <w:p>
      <w:pPr>
        <w:pStyle w:val="Heading3"/>
      </w:pPr>
      <w:r>
        <w:t xml:space="preserve">2.1 Detailed Bill of Materials (BOM) Analysis</w:t>
      </w:r>
    </w:p>
    <w:p>
      <w:pPr>
        <w:pStyle w:val="FirstParagraph"/>
      </w:pPr>
      <w:r>
        <w:t xml:space="preserve">The provided Detailed Bill of Materials data (referred to as "nqtzzgtx" in the parameters) is used for high-accuracy material impact calculation. The \'Total Carbon\' values, as provided in the BOM, are directly incorporated into the calculation of raw material emissions. For the purpose of this report, we are using the following illustrative BOM data, representing the structure specified by "nqtzzgtx":</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ITEM001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150</w:t>
            </w:r>
          </w:p>
        </w:tc>
        <w:tc>
          <w:tcPr/>
          <w:p>
            <w:pPr>
              <w:pStyle w:val="Compact"/>
              <w:jc w:val="left"/>
            </w:pPr>
            <w:r>
              <w:t xml:space="preserve">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ITEM002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50</w:t>
            </w:r>
          </w:p>
        </w:tc>
        <w:tc>
          <w:tcPr/>
          <w:p>
            <w:pPr>
              <w:pStyle w:val="Compact"/>
              <w:jc w:val="left"/>
            </w:pPr>
            <w:r>
              <w:t xml:space="preserve">g</w:t>
            </w:r>
          </w:p>
        </w:tc>
        <w:tc>
          <w:tcPr/>
          <w:p>
            <w:pPr>
              <w:pStyle w:val="Compact"/>
              <w:jc w:val="left"/>
            </w:pPr>
            <w:r>
              <w:t xml:space="preserve">15</w:t>
            </w:r>
          </w:p>
        </w:tc>
        <w:tc>
          <w:tcPr/>
          <w:p>
            <w:pPr>
              <w:pStyle w:val="Compact"/>
              <w:jc w:val="left"/>
            </w:pPr>
            <w:r>
              <w:t xml:space="preserve">0.750</w:t>
            </w:r>
          </w:p>
        </w:tc>
      </w:tr>
      <w:tr>
        <w:tc>
          <w:tcPr/>
          <w:p>
            <w:pPr>
              <w:pStyle w:val="Compact"/>
              <w:jc w:val="left"/>
            </w:pPr>
            <w:r>
              <w:t xml:space="preserve">ITEM003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20</w:t>
            </w:r>
          </w:p>
        </w:tc>
        <w:tc>
          <w:tcPr/>
          <w:p>
            <w:pPr>
              <w:pStyle w:val="Compact"/>
              <w:jc w:val="left"/>
            </w:pPr>
            <w:r>
              <w:t xml:space="preserve">g</w:t>
            </w:r>
          </w:p>
        </w:tc>
        <w:tc>
          <w:tcPr/>
          <w:p>
            <w:pPr>
              <w:pStyle w:val="Compact"/>
              <w:jc w:val="left"/>
            </w:pPr>
            <w:r>
              <w:t xml:space="preserve">3</w:t>
            </w:r>
          </w:p>
        </w:tc>
        <w:tc>
          <w:tcPr/>
          <w:p>
            <w:pPr>
              <w:pStyle w:val="Compact"/>
              <w:jc w:val="left"/>
            </w:pPr>
            <w:r>
              <w:t xml:space="preserve">0.060</w:t>
            </w:r>
          </w:p>
        </w:tc>
      </w:tr>
    </w:tbl>
    <w:p>
      <w:pPr>
        <w:pStyle w:val="BodyText"/>
      </w:pPr>
      <w:r>
        <w:rPr>
          <w:bCs/>
          <w:b/>
        </w:rPr>
        <w:t xml:space="preserve">Note on BOM Total Carbon:</w:t>
      </w:r>
      <w:r>
        <w:t xml:space="preserve"> </w:t>
      </w:r>
      <w:r>
        <w:t xml:space="preserve">The \'Total Carbon\' provided in the BOM is directly used as the emission contribution for each material, representing the cradle-to-gate impact of that specific component.</w:t>
      </w:r>
    </w:p>
    <w:p>
      <w:pPr>
        <w:pStyle w:val="BodyText"/>
      </w:pPr>
      <w:r>
        <w:t xml:space="preserve">Based on the provided BOM, the primary material categories include plastics, electronics, and metals. These categories often represent significant upstream (Scope 3) emissions due to resource extraction and processing.</w:t>
      </w:r>
    </w:p>
    <w:bookmarkEnd w:id="30"/>
    <w:bookmarkStart w:id="31" w:name="production-phase-energy-inputs"/>
    <w:p>
      <w:pPr>
        <w:pStyle w:val="Heading3"/>
      </w:pPr>
      <w:r>
        <w:t xml:space="preserve">2.2 Production Phase Energy Inputs</w:t>
      </w:r>
    </w:p>
    <w:p>
      <w:pPr>
        <w:numPr>
          <w:ilvl w:val="0"/>
          <w:numId w:val="1007"/>
        </w:numPr>
        <w:pStyle w:val="Compact"/>
      </w:pPr>
      <w:r>
        <w:rPr>
          <w:bCs/>
          <w:b/>
        </w:rPr>
        <w:t xml:space="preserve">Energy Intensity (kWh/unit):</w:t>
      </w:r>
      <w:r>
        <w:t xml:space="preserve"> </w:t>
      </w:r>
      <w:r>
        <w:t xml:space="preserve">durxupxwik (Assumed: 0.5 kWh/unit for calculation)</w:t>
      </w:r>
    </w:p>
    <w:p>
      <w:pPr>
        <w:numPr>
          <w:ilvl w:val="0"/>
          <w:numId w:val="1007"/>
        </w:numPr>
        <w:pStyle w:val="Compact"/>
      </w:pPr>
      <w:r>
        <w:rPr>
          <w:bCs/>
          <w:b/>
        </w:rPr>
        <w:t xml:space="preserve">Renewable Energy Usage:</w:t>
      </w:r>
      <w:r>
        <w:t xml:space="preserve"> </w:t>
      </w:r>
      <w:r>
        <w:t xml:space="preserve">xigtldvjgt (Assumed: 60% renewable energy usage for calculation)</w:t>
      </w:r>
    </w:p>
    <w:p>
      <w:pPr>
        <w:numPr>
          <w:ilvl w:val="0"/>
          <w:numId w:val="1007"/>
        </w:numPr>
        <w:pStyle w:val="Compact"/>
      </w:pPr>
      <w:r>
        <w:t xml:space="preserve">The remaining (100% - 60% = 40%) energy is assumed to come from the grid. For China, an average grid emission factor of 0.6 kg CO2e/kWh is used as an illustrative factor.</w:t>
      </w:r>
    </w:p>
    <w:bookmarkEnd w:id="31"/>
    <w:bookmarkStart w:id="32" w:name="transport-logistics"/>
    <w:p>
      <w:pPr>
        <w:pStyle w:val="Heading3"/>
      </w:pPr>
      <w:r>
        <w:t xml:space="preserve">2.3 Transport Logistics</w:t>
      </w:r>
    </w:p>
    <w:p>
      <w:pPr>
        <w:pStyle w:val="FirstParagraph"/>
      </w:pPr>
      <w:r>
        <w:t xml:space="preserve">Transport plays a critical role in Scope 3 emissions. The following specific logistics data is incorporated:</w:t>
      </w:r>
    </w:p>
    <w:p>
      <w:pPr>
        <w:numPr>
          <w:ilvl w:val="0"/>
          <w:numId w:val="1008"/>
        </w:numPr>
        <w:pStyle w:val="Compact"/>
      </w:pPr>
      <w:r>
        <w:rPr>
          <w:bCs/>
          <w:b/>
        </w:rPr>
        <w:t xml:space="preserve">Primary Transport Mode:</w:t>
      </w:r>
      <w:r>
        <w:t xml:space="preserve"> </w:t>
      </w:r>
      <w:r>
        <w:t xml:space="preserve">Select Mode (Assumed: Ocean Freight - Container Ship)</w:t>
      </w:r>
    </w:p>
    <w:p>
      <w:pPr>
        <w:numPr>
          <w:ilvl w:val="0"/>
          <w:numId w:val="1008"/>
        </w:numPr>
        <w:pStyle w:val="Compact"/>
      </w:pPr>
      <w:r>
        <w:rPr>
          <w:bCs/>
          <w:b/>
        </w:rPr>
        <w:t xml:space="preserve">Primary Transport Distance:</w:t>
      </w:r>
      <w:r>
        <w:t xml:space="preserve"> </w:t>
      </w:r>
      <w:r>
        <w:t xml:space="preserve">gohrwwrmfy (Assumed: 5000 km)</w:t>
      </w:r>
    </w:p>
    <w:p>
      <w:pPr>
        <w:numPr>
          <w:ilvl w:val="0"/>
          <w:numId w:val="1008"/>
        </w:numPr>
        <w:pStyle w:val="Compact"/>
      </w:pPr>
      <w:r>
        <w:rPr>
          <w:bCs/>
          <w:b/>
        </w:rPr>
        <w:t xml:space="preserve">Last-Mile Delivery Channel:</w:t>
      </w:r>
      <w:r>
        <w:t xml:space="preserve"> </w:t>
      </w:r>
      <w:r>
        <w:t xml:space="preserve">Delivery Type (Assumed: Road - Heavy Goods Vehicle, Parcel Delivery)</w:t>
      </w:r>
    </w:p>
    <w:p>
      <w:pPr>
        <w:numPr>
          <w:ilvl w:val="0"/>
          <w:numId w:val="1008"/>
        </w:numPr>
        <w:pStyle w:val="Compact"/>
      </w:pPr>
      <w:r>
        <w:rPr>
          <w:bCs/>
          <w:b/>
        </w:rPr>
        <w:t xml:space="preserve">Last-Mile Delivery Distance:</w:t>
      </w:r>
      <w:r>
        <w:t xml:space="preserve"> </w:t>
      </w:r>
      <w:r>
        <w:t xml:space="preserve">gohrwwrmfy (Assumed: 100 km for last-mile)</w:t>
      </w:r>
    </w:p>
    <w:p>
      <w:pPr>
        <w:pStyle w:val="FirstParagraph"/>
      </w:pPr>
      <w:r>
        <w:t xml:space="preserve">Illustrative emission factors for transport (acknowledging variability):</w:t>
      </w:r>
    </w:p>
    <w:p>
      <w:pPr>
        <w:numPr>
          <w:ilvl w:val="0"/>
          <w:numId w:val="1009"/>
        </w:numPr>
        <w:pStyle w:val="Compact"/>
      </w:pPr>
      <w:r>
        <w:t xml:space="preserve">Ocean Freight (Container Ship): 0.01 kg CO2e/tonne-km.</w:t>
      </w:r>
    </w:p>
    <w:p>
      <w:pPr>
        <w:numPr>
          <w:ilvl w:val="0"/>
          <w:numId w:val="1009"/>
        </w:numPr>
        <w:pStyle w:val="Compact"/>
      </w:pPr>
      <w:r>
        <w:t xml:space="preserve">Road Transport (Heavy Goods Vehicle / Parcel Van): 0.1 kg CO2e/tonne-km for general road freight. A higher factor of 0.2 kg CO2e/tonne-km is used for parcel delivery due to typically lower load factors and specific vehicle types.</w:t>
      </w:r>
    </w:p>
    <w:p>
      <w:pPr>
        <w:pStyle w:val="FirstParagraph"/>
      </w:pPr>
      <w:r>
        <w:t xml:space="preserve">Product weight assumption for transport: Sum of quantities in BOM (150g + 50g + 20g = 220g = 0.00022 tonnes).</w:t>
      </w:r>
    </w:p>
    <w:bookmarkEnd w:id="32"/>
    <w:bookmarkStart w:id="33" w:name="use-phase-durability-and-consumption"/>
    <w:p>
      <w:pPr>
        <w:pStyle w:val="Heading3"/>
      </w:pPr>
      <w:r>
        <w:t xml:space="preserve">2.4 Use Phase Durability and Consumption</w:t>
      </w:r>
    </w:p>
    <w:p>
      <w:pPr>
        <w:pStyle w:val="FirstParagraph"/>
      </w:pPr>
      <w:r>
        <w:t xml:space="preserve">The use phase can be a significant contributor to the overall PCF, especially for energy-consuming products.</w:t>
      </w:r>
    </w:p>
    <w:p>
      <w:pPr>
        <w:numPr>
          <w:ilvl w:val="0"/>
          <w:numId w:val="1010"/>
        </w:numPr>
        <w:pStyle w:val="Compact"/>
      </w:pPr>
      <w:r>
        <w:rPr>
          <w:bCs/>
          <w:b/>
        </w:rPr>
        <w:t xml:space="preserve">Product Lifespan:</w:t>
      </w:r>
      <w:r>
        <w:t xml:space="preserve"> </w:t>
      </w:r>
      <w:r>
        <w:t xml:space="preserve">qekdqlrohl (Assumed: 5 years)</w:t>
      </w:r>
    </w:p>
    <w:p>
      <w:pPr>
        <w:numPr>
          <w:ilvl w:val="0"/>
          <w:numId w:val="1010"/>
        </w:numPr>
        <w:pStyle w:val="Compact"/>
      </w:pPr>
      <w:r>
        <w:rPr>
          <w:bCs/>
          <w:b/>
        </w:rPr>
        <w:t xml:space="preserve">Energy Consumption in Use:</w:t>
      </w:r>
      <w:r>
        <w:t xml:space="preserve"> </w:t>
      </w:r>
      <w:r>
        <w:t xml:space="preserve">gvvlwsropj (Assumed: 0.01 kWh/hour)</w:t>
      </w:r>
    </w:p>
    <w:p>
      <w:pPr>
        <w:numPr>
          <w:ilvl w:val="0"/>
          <w:numId w:val="1010"/>
        </w:numPr>
        <w:pStyle w:val="Compact"/>
      </w:pPr>
      <w:r>
        <w:rPr>
          <w:bCs/>
          <w:b/>
        </w:rPr>
        <w:t xml:space="preserve">Usage Pattern:</w:t>
      </w:r>
      <w:r>
        <w:t xml:space="preserve"> </w:t>
      </w:r>
      <w:r>
        <w:t xml:space="preserve">Assumed 8 hours/day, 365 days/year over the lifespan.</w:t>
      </w:r>
    </w:p>
    <w:p>
      <w:pPr>
        <w:numPr>
          <w:ilvl w:val="0"/>
          <w:numId w:val="1010"/>
        </w:numPr>
        <w:pStyle w:val="Compact"/>
      </w:pPr>
      <w:r>
        <w:t xml:space="preserve">The emission factor for electricity consumed in the use phase is assumed to be the average grid mix for the region of use (e.g., Europe focused supply chain, so a general European mix of 0.25 kg CO2e/kWh is used as an illustrative factor).</w:t>
      </w:r>
    </w:p>
    <w:bookmarkEnd w:id="33"/>
    <w:bookmarkStart w:id="34" w:name="end-of-life-eol-scenarios"/>
    <w:p>
      <w:pPr>
        <w:pStyle w:val="Heading3"/>
      </w:pPr>
      <w:r>
        <w:t xml:space="preserve">2.5 End-of-Life (EoL) Scenarios</w:t>
      </w:r>
    </w:p>
    <w:p>
      <w:pPr>
        <w:pStyle w:val="FirstParagraph"/>
      </w:pPr>
      <w:r>
        <w:t xml:space="preserve">End-of-Life management influences the circularity and final emissions of a product.</w:t>
      </w:r>
    </w:p>
    <w:p>
      <w:pPr>
        <w:numPr>
          <w:ilvl w:val="0"/>
          <w:numId w:val="1011"/>
        </w:numPr>
        <w:pStyle w:val="Compact"/>
      </w:pPr>
      <w:r>
        <w:rPr>
          <w:bCs/>
          <w:b/>
        </w:rPr>
        <w:t xml:space="preserve">Recyclability Percentage:</w:t>
      </w:r>
      <w:r>
        <w:t xml:space="preserve"> </w:t>
      </w:r>
      <w:r>
        <w:t xml:space="preserve">dmwdfvoqee (Assumed: 70%)</w:t>
      </w:r>
    </w:p>
    <w:p>
      <w:pPr>
        <w:numPr>
          <w:ilvl w:val="0"/>
          <w:numId w:val="1011"/>
        </w:numPr>
        <w:pStyle w:val="Compact"/>
      </w:pPr>
      <w:r>
        <w:rPr>
          <w:bCs/>
          <w:b/>
        </w:rPr>
        <w:t xml:space="preserve">Circular/Take-back Programs:</w:t>
      </w:r>
      <w:r>
        <w:t xml:space="preserve"> </w:t>
      </w:r>
      <w:r>
        <w:t xml:space="preserve">mqyljgtppw (Assumed: Product take-back and recycling scheme in place)</w:t>
      </w:r>
    </w:p>
    <w:p>
      <w:pPr>
        <w:pStyle w:val="FirstParagraph"/>
      </w:pPr>
      <w:r>
        <w:t xml:space="preserve">For End-of-Life, the avoided emissions from recycling are estimated based on the recyclability percentage. The remaining percentage goes to landfill/incineration.</w:t>
      </w:r>
    </w:p>
    <w:p>
      <w:pPr>
        <w:numPr>
          <w:ilvl w:val="0"/>
          <w:numId w:val="1012"/>
        </w:numPr>
        <w:pStyle w:val="Compact"/>
      </w:pPr>
      <w:r>
        <w:t xml:space="preserve">Illustrative recycling credit (e.g., average -1.5 kg CO2e/kg for mixed materials, representing avoided virgin material production, acknowledging significant variability by material type).</w:t>
      </w:r>
    </w:p>
    <w:p>
      <w:pPr>
        <w:numPr>
          <w:ilvl w:val="0"/>
          <w:numId w:val="1012"/>
        </w:numPr>
        <w:pStyle w:val="Compact"/>
      </w:pPr>
      <w:r>
        <w:t xml:space="preserve">Illustrative landfill/incineration emissions (e.g., 0.5 kg CO2e/kg for residual waste, acknowledging variability based on composition and treatment technology).</w:t>
      </w:r>
    </w:p>
    <w:p>
      <w:pPr>
        <w:pStyle w:val="FirstParagraph"/>
      </w:pPr>
      <w:r>
        <w:t xml:space="preserve">Product total weight: 0.22 kg.</w:t>
      </w:r>
    </w:p>
    <w:p>
      <w:r>
        <w:pict>
          <v:rect style="width:0;height:1.5pt" o:hralign="center" o:hrstd="t" o:hr="t"/>
        </w:pict>
      </w:r>
    </w:p>
    <w:bookmarkEnd w:id="34"/>
    <w:bookmarkEnd w:id="35"/>
    <w:bookmarkStart w:id="47" w:name="calculate-emissions-co2e"/>
    <w:p>
      <w:pPr>
        <w:pStyle w:val="Heading1"/>
      </w:pPr>
      <w:r>
        <w:t xml:space="preserve">4. Calculate Emissions (CO2e)</w:t>
      </w:r>
    </w:p>
    <w:p>
      <w:pPr>
        <w:pStyle w:val="FirstParagraph"/>
      </w:pPr>
      <w:r>
        <w:t xml:space="preserve">Emissions are calculated for each lifecycle stage based on activity data multiplied by appropriate emission factors, categorized according to the GHG Protocol.</w:t>
      </w:r>
    </w:p>
    <w:bookmarkStart w:id="36" w:name="raw-materials-scope-3---upstream"/>
    <w:p>
      <w:pPr>
        <w:pStyle w:val="Heading3"/>
      </w:pPr>
      <w:r>
        <w:t xml:space="preserve">4.1 Raw Materials (Scope 3 - Upstream)</w:t>
      </w:r>
    </w:p>
    <w:p>
      <w:pPr>
        <w:pStyle w:val="FirstParagraph"/>
      </w:pPr>
      <w:r>
        <w:t xml:space="preserve">Total emissions from raw materials are the sum of \'Total Carbon\' values provided in the Detailed BOM.</w:t>
      </w:r>
    </w:p>
    <w:p>
      <w:pPr>
        <w:pStyle w:val="BodyText"/>
      </w:pPr>
      <w:r>
        <w:rPr>
          <w:bCs/>
          <w:b/>
        </w:rPr>
        <w:t xml:space="preserve">Total Material Emissions (Sum of BOM \'Total Carbon\'):</w:t>
      </w:r>
      <w:r>
        <w:t xml:space="preserve"> </w:t>
      </w:r>
      <w:r>
        <w:t xml:space="preserve">0.375 kg CO2e (Plastic Casing) + 0.750 kg CO2e (Circuit Board) + 0.060 kg CO2e (Copper Wire) =</w:t>
      </w:r>
      <w:r>
        <w:t xml:space="preserve"> </w:t>
      </w:r>
      <w:r>
        <w:rPr>
          <w:bCs/>
          <w:b/>
        </w:rPr>
        <w:t xml:space="preserve">1.185 kg CO2e</w:t>
      </w:r>
    </w:p>
    <w:bookmarkEnd w:id="36"/>
    <w:bookmarkStart w:id="39" w:name="production-phase-emissions"/>
    <w:p>
      <w:pPr>
        <w:pStyle w:val="Heading3"/>
      </w:pPr>
      <w:r>
        <w:t xml:space="preserve">4.2 Production Phase Emissions</w:t>
      </w:r>
    </w:p>
    <w:bookmarkStart w:id="37" w:name="scope-2-emissions-purchased-electricity"/>
    <w:p>
      <w:pPr>
        <w:pStyle w:val="Heading4"/>
      </w:pPr>
      <w:r>
        <w:t xml:space="preserve">4.2.1 Scope 2 Emissions (Purchased Electricity)</w:t>
      </w:r>
    </w:p>
    <w:p>
      <w:pPr>
        <w:numPr>
          <w:ilvl w:val="0"/>
          <w:numId w:val="1013"/>
        </w:numPr>
        <w:pStyle w:val="Compact"/>
      </w:pPr>
      <w:r>
        <w:t xml:space="preserve">Total Energy Consumption: durxupxwik (0.5 kWh/unit)</w:t>
      </w:r>
    </w:p>
    <w:p>
      <w:pPr>
        <w:numPr>
          <w:ilvl w:val="0"/>
          <w:numId w:val="1013"/>
        </w:numPr>
        <w:pStyle w:val="Compact"/>
      </w:pPr>
      <w:r>
        <w:t xml:space="preserve">Non-renewable Energy Share: (100% - xigtldvjgt (60%)) = 40%</w:t>
      </w:r>
    </w:p>
    <w:p>
      <w:pPr>
        <w:numPr>
          <w:ilvl w:val="0"/>
          <w:numId w:val="1013"/>
        </w:numPr>
        <w:pStyle w:val="Compact"/>
      </w:pPr>
      <w:r>
        <w:t xml:space="preserve">Non-renewable Energy Consumption: 0.5 kWh/unit * 0.40 = 0.2 kWh/unit</w:t>
      </w:r>
    </w:p>
    <w:p>
      <w:pPr>
        <w:numPr>
          <w:ilvl w:val="0"/>
          <w:numId w:val="1013"/>
        </w:numPr>
        <w:pStyle w:val="Compact"/>
      </w:pPr>
      <w:r>
        <w:t xml:space="preserve">Emission Factor (China Grid, illustrative): 0.6 kg CO2e/kWh</w:t>
      </w:r>
    </w:p>
    <w:p>
      <w:pPr>
        <w:numPr>
          <w:ilvl w:val="0"/>
          <w:numId w:val="1013"/>
        </w:numPr>
        <w:pStyle w:val="Compact"/>
      </w:pPr>
      <w:r>
        <w:rPr>
          <w:bCs/>
          <w:b/>
        </w:rPr>
        <w:t xml:space="preserve">Scope 2 Emissions:</w:t>
      </w:r>
      <w:r>
        <w:t xml:space="preserve"> </w:t>
      </w:r>
      <w:r>
        <w:t xml:space="preserve">0.2 kWh/unit * 0.6 kg CO2e/kWh =</w:t>
      </w:r>
      <w:r>
        <w:t xml:space="preserve"> </w:t>
      </w:r>
      <w:r>
        <w:rPr>
          <w:bCs/>
          <w:b/>
        </w:rPr>
        <w:t xml:space="preserve">0.120 kg CO2e</w:t>
      </w:r>
    </w:p>
    <w:bookmarkEnd w:id="37"/>
    <w:bookmarkStart w:id="38" w:name="X3da49d0e274277ddcdca3d71604f132468ec56f"/>
    <w:p>
      <w:pPr>
        <w:pStyle w:val="Heading4"/>
      </w:pPr>
      <w:r>
        <w:t xml:space="preserve">4.2.2 Scope 1 Emissions (Direct, e.g., On-site fuel combustion)</w:t>
      </w:r>
    </w:p>
    <w:p>
      <w:pPr>
        <w:pStyle w:val="FirstParagraph"/>
      </w:pPr>
      <w:r>
        <w:t xml:space="preserve">No specific data for direct on-site fuel combustion was provided (e.g., for boilers, company vehicles at the plant). Assuming these are negligible or covered within the Scope 2 or BOM emission factors for the "factory_gate" system boundary unless explicitly stated. Thus,</w:t>
      </w:r>
      <w:r>
        <w:t xml:space="preserve"> </w:t>
      </w:r>
      <w:r>
        <w:rPr>
          <w:bCs/>
          <w:b/>
        </w:rPr>
        <w:t xml:space="preserve">Scope 1 Emissions = 0.000 kg CO2e</w:t>
      </w:r>
      <w:r>
        <w:t xml:space="preserve"> </w:t>
      </w:r>
      <w:r>
        <w:t xml:space="preserve">for this analysis.</w:t>
      </w:r>
    </w:p>
    <w:bookmarkEnd w:id="38"/>
    <w:bookmarkEnd w:id="39"/>
    <w:bookmarkStart w:id="42" w:name="transport-emissions-scope-3"/>
    <w:p>
      <w:pPr>
        <w:pStyle w:val="Heading3"/>
      </w:pPr>
      <w:r>
        <w:t xml:space="preserve">4.3 Transport Emissions (Scope 3)</w:t>
      </w:r>
    </w:p>
    <w:p>
      <w:pPr>
        <w:pStyle w:val="FirstParagraph"/>
      </w:pPr>
      <w:r>
        <w:t xml:space="preserve">Total product weight: 0.22 kg (0.00022 tonnes).</w:t>
      </w:r>
    </w:p>
    <w:bookmarkStart w:id="40" w:name="X26344c26a915ebf09665593e15424314df1553b"/>
    <w:p>
      <w:pPr>
        <w:pStyle w:val="Heading4"/>
      </w:pPr>
      <w:r>
        <w:t xml:space="preserve">4.3.1 Primary Transport (Upstream - Raw Materials to Factory)</w:t>
      </w:r>
    </w:p>
    <w:p>
      <w:pPr>
        <w:numPr>
          <w:ilvl w:val="0"/>
          <w:numId w:val="1014"/>
        </w:numPr>
        <w:pStyle w:val="Compact"/>
      </w:pPr>
      <w:r>
        <w:t xml:space="preserve">Mode: Select Mode (Ocean Freight)</w:t>
      </w:r>
    </w:p>
    <w:p>
      <w:pPr>
        <w:numPr>
          <w:ilvl w:val="0"/>
          <w:numId w:val="1014"/>
        </w:numPr>
        <w:pStyle w:val="Compact"/>
      </w:pPr>
      <w:r>
        <w:t xml:space="preserve">Distance: gohrwwrmfy (5000 km)</w:t>
      </w:r>
    </w:p>
    <w:p>
      <w:pPr>
        <w:numPr>
          <w:ilvl w:val="0"/>
          <w:numId w:val="1014"/>
        </w:numPr>
        <w:pStyle w:val="Compact"/>
      </w:pPr>
      <w:r>
        <w:t xml:space="preserve">Emission Factor: 0.01 kg CO2e/tonne-km</w:t>
      </w:r>
    </w:p>
    <w:p>
      <w:pPr>
        <w:numPr>
          <w:ilvl w:val="0"/>
          <w:numId w:val="1014"/>
        </w:numPr>
        <w:pStyle w:val="Compact"/>
      </w:pPr>
      <w:r>
        <w:t xml:space="preserve">Emissions: 0.00022 tonnes * 5000 km * 0.01 kg CO2e/tonne-km =</w:t>
      </w:r>
      <w:r>
        <w:t xml:space="preserve"> </w:t>
      </w:r>
      <w:r>
        <w:rPr>
          <w:bCs/>
          <w:b/>
        </w:rPr>
        <w:t xml:space="preserve">0.011 kg CO2e</w:t>
      </w:r>
    </w:p>
    <w:bookmarkEnd w:id="40"/>
    <w:bookmarkStart w:id="41" w:name="X9c79a9d9c12c00acc610fbb8b0fdba7e31824bf"/>
    <w:p>
      <w:pPr>
        <w:pStyle w:val="Heading4"/>
      </w:pPr>
      <w:r>
        <w:t xml:space="preserve">4.3.2 Last-Mile Delivery (Downstream - Factory to Customer)</w:t>
      </w:r>
    </w:p>
    <w:p>
      <w:pPr>
        <w:numPr>
          <w:ilvl w:val="0"/>
          <w:numId w:val="1015"/>
        </w:numPr>
        <w:pStyle w:val="Compact"/>
      </w:pPr>
      <w:r>
        <w:t xml:space="preserve">Mode: Delivery Type (Road - Parcel Delivery Van)</w:t>
      </w:r>
    </w:p>
    <w:p>
      <w:pPr>
        <w:numPr>
          <w:ilvl w:val="0"/>
          <w:numId w:val="1015"/>
        </w:numPr>
        <w:pStyle w:val="Compact"/>
      </w:pPr>
      <w:r>
        <w:t xml:space="preserve">Distance: gohrwwrmfy (100 km)</w:t>
      </w:r>
    </w:p>
    <w:p>
      <w:pPr>
        <w:numPr>
          <w:ilvl w:val="0"/>
          <w:numId w:val="1015"/>
        </w:numPr>
        <w:pStyle w:val="Compact"/>
      </w:pPr>
      <w:r>
        <w:t xml:space="preserve">Emission Factor: 0.2 kg CO2e/tonne-km</w:t>
      </w:r>
    </w:p>
    <w:p>
      <w:pPr>
        <w:numPr>
          <w:ilvl w:val="0"/>
          <w:numId w:val="1015"/>
        </w:numPr>
        <w:pStyle w:val="Compact"/>
      </w:pPr>
      <w:r>
        <w:t xml:space="preserve">Emissions: 0.00022 tonnes * 100 km * 0.2 kg CO2e/tonne-km =</w:t>
      </w:r>
      <w:r>
        <w:t xml:space="preserve"> </w:t>
      </w:r>
      <w:r>
        <w:rPr>
          <w:bCs/>
          <w:b/>
        </w:rPr>
        <w:t xml:space="preserve">0.0044 kg CO2e</w:t>
      </w:r>
    </w:p>
    <w:p>
      <w:pPr>
        <w:pStyle w:val="FirstParagraph"/>
      </w:pPr>
      <w:r>
        <w:rPr>
          <w:bCs/>
          <w:b/>
        </w:rPr>
        <w:t xml:space="preserve">Total Transport Emissions:</w:t>
      </w:r>
      <w:r>
        <w:t xml:space="preserve"> </w:t>
      </w:r>
      <w:r>
        <w:t xml:space="preserve">0.011 kg CO2e + 0.0044 kg CO2e =</w:t>
      </w:r>
      <w:r>
        <w:t xml:space="preserve"> </w:t>
      </w:r>
      <w:r>
        <w:rPr>
          <w:bCs/>
          <w:b/>
        </w:rPr>
        <w:t xml:space="preserve">0.0154 kg CO2e</w:t>
      </w:r>
    </w:p>
    <w:bookmarkEnd w:id="41"/>
    <w:bookmarkEnd w:id="42"/>
    <w:bookmarkStart w:id="43" w:name="use-phase-emissions-scope-3---downstream"/>
    <w:p>
      <w:pPr>
        <w:pStyle w:val="Heading3"/>
      </w:pPr>
      <w:r>
        <w:t xml:space="preserve">4.4 Use Phase Emissions (Scope 3 - Downstream)</w:t>
      </w:r>
    </w:p>
    <w:p>
      <w:pPr>
        <w:numPr>
          <w:ilvl w:val="0"/>
          <w:numId w:val="1016"/>
        </w:numPr>
        <w:pStyle w:val="Compact"/>
      </w:pPr>
      <w:r>
        <w:t xml:space="preserve">Lifespan: qekdqlrohl (5 years)</w:t>
      </w:r>
    </w:p>
    <w:p>
      <w:pPr>
        <w:numPr>
          <w:ilvl w:val="0"/>
          <w:numId w:val="1016"/>
        </w:numPr>
        <w:pStyle w:val="Compact"/>
      </w:pPr>
      <w:r>
        <w:t xml:space="preserve">Annual Usage: 8 hours/day * 365 days/year = 2920 hours/year</w:t>
      </w:r>
    </w:p>
    <w:p>
      <w:pPr>
        <w:numPr>
          <w:ilvl w:val="0"/>
          <w:numId w:val="1016"/>
        </w:numPr>
        <w:pStyle w:val="Compact"/>
      </w:pPr>
      <w:r>
        <w:t xml:space="preserve">Total Usage Hours over Lifespan: 2920 hours/year * 5 years = 14600 hours</w:t>
      </w:r>
    </w:p>
    <w:p>
      <w:pPr>
        <w:numPr>
          <w:ilvl w:val="0"/>
          <w:numId w:val="1016"/>
        </w:numPr>
        <w:pStyle w:val="Compact"/>
      </w:pPr>
      <w:r>
        <w:t xml:space="preserve">Energy Consumption per hour: gvvlwsropj (0.01 kWh/hour)</w:t>
      </w:r>
    </w:p>
    <w:p>
      <w:pPr>
        <w:numPr>
          <w:ilvl w:val="0"/>
          <w:numId w:val="1016"/>
        </w:numPr>
        <w:pStyle w:val="Compact"/>
      </w:pPr>
      <w:r>
        <w:t xml:space="preserve">Total Energy Consumption over Lifespan: 14600 hours * 0.01 kWh/hour = 146 kWh</w:t>
      </w:r>
    </w:p>
    <w:p>
      <w:pPr>
        <w:numPr>
          <w:ilvl w:val="0"/>
          <w:numId w:val="1016"/>
        </w:numPr>
        <w:pStyle w:val="Compact"/>
      </w:pPr>
      <w:r>
        <w:t xml:space="preserve">Emission Factor (European Grid Mix, illustrative): 0.25 kg CO2e/kWh</w:t>
      </w:r>
    </w:p>
    <w:p>
      <w:pPr>
        <w:numPr>
          <w:ilvl w:val="0"/>
          <w:numId w:val="1016"/>
        </w:numPr>
        <w:pStyle w:val="Compact"/>
      </w:pPr>
      <w:r>
        <w:rPr>
          <w:bCs/>
          <w:b/>
        </w:rPr>
        <w:t xml:space="preserve">Use Phase Emissions:</w:t>
      </w:r>
      <w:r>
        <w:t xml:space="preserve"> </w:t>
      </w:r>
      <w:r>
        <w:t xml:space="preserve">146 kWh * 0.25 kg CO2e/kWh =</w:t>
      </w:r>
      <w:r>
        <w:t xml:space="preserve"> </w:t>
      </w:r>
      <w:r>
        <w:rPr>
          <w:bCs/>
          <w:b/>
        </w:rPr>
        <w:t xml:space="preserve">36.500 kg CO2e</w:t>
      </w:r>
    </w:p>
    <w:bookmarkEnd w:id="43"/>
    <w:bookmarkStart w:id="44" w:name="X23f3ccf8f545e8ee00ed2d87a0ebc8076c1344c"/>
    <w:p>
      <w:pPr>
        <w:pStyle w:val="Heading3"/>
      </w:pPr>
      <w:r>
        <w:t xml:space="preserve">4.5 End-of-Life (EoL) Emissions/Credits (Scope 3 - Downstream)</w:t>
      </w:r>
    </w:p>
    <w:p>
      <w:pPr>
        <w:numPr>
          <w:ilvl w:val="0"/>
          <w:numId w:val="1017"/>
        </w:numPr>
        <w:pStyle w:val="Compact"/>
      </w:pPr>
      <w:r>
        <w:t xml:space="preserve">Total Product Weight: 0.22 kg</w:t>
      </w:r>
    </w:p>
    <w:p>
      <w:pPr>
        <w:numPr>
          <w:ilvl w:val="0"/>
          <w:numId w:val="1017"/>
        </w:numPr>
        <w:pStyle w:val="Compact"/>
      </w:pPr>
      <w:r>
        <w:t xml:space="preserve">Recyclability Percentage: dmwdfvoqee (70%)</w:t>
      </w:r>
    </w:p>
    <w:p>
      <w:pPr>
        <w:numPr>
          <w:ilvl w:val="0"/>
          <w:numId w:val="1017"/>
        </w:numPr>
        <w:pStyle w:val="Compact"/>
      </w:pPr>
      <w:r>
        <w:t xml:space="preserve">Weight Recycled: 0.22 kg * 0.70 = 0.154 kg</w:t>
      </w:r>
    </w:p>
    <w:p>
      <w:pPr>
        <w:numPr>
          <w:ilvl w:val="0"/>
          <w:numId w:val="1017"/>
        </w:numPr>
        <w:pStyle w:val="Compact"/>
      </w:pPr>
      <w:r>
        <w:t xml:space="preserve">Weight to Landfill/Incineration: 0.22 kg * 0.30 = 0.066 kg</w:t>
      </w:r>
    </w:p>
    <w:p>
      <w:pPr>
        <w:numPr>
          <w:ilvl w:val="0"/>
          <w:numId w:val="1017"/>
        </w:numPr>
        <w:pStyle w:val="Compact"/>
      </w:pPr>
      <w:r>
        <w:t xml:space="preserve">Recycling Credit (Illustrative): -1.5 kg CO2e/kg (avoided emissions)</w:t>
      </w:r>
    </w:p>
    <w:p>
      <w:pPr>
        <w:numPr>
          <w:ilvl w:val="0"/>
          <w:numId w:val="1017"/>
        </w:numPr>
        <w:pStyle w:val="Compact"/>
      </w:pPr>
      <w:r>
        <w:t xml:space="preserve">Landfill/Incineration Emissions (Illustrative): 0.5 kg CO2e/kg</w:t>
      </w:r>
    </w:p>
    <w:p>
      <w:pPr>
        <w:numPr>
          <w:ilvl w:val="0"/>
          <w:numId w:val="1017"/>
        </w:numPr>
        <w:pStyle w:val="Compact"/>
      </w:pPr>
      <w:r>
        <w:t xml:space="preserve">Recycling Emissions/Credits: 0.154 kg * (-1.5 kg CO2e/kg) = -0.231 kg CO2e</w:t>
      </w:r>
    </w:p>
    <w:p>
      <w:pPr>
        <w:numPr>
          <w:ilvl w:val="0"/>
          <w:numId w:val="1017"/>
        </w:numPr>
        <w:pStyle w:val="Compact"/>
      </w:pPr>
      <w:r>
        <w:t xml:space="preserve">Landfill/Incineration Emissions: 0.066 kg * 0.5 kg CO2e/kg = 0.033 kg CO2e</w:t>
      </w:r>
    </w:p>
    <w:p>
      <w:pPr>
        <w:numPr>
          <w:ilvl w:val="0"/>
          <w:numId w:val="1017"/>
        </w:numPr>
        <w:pStyle w:val="Compact"/>
      </w:pPr>
      <w:r>
        <w:rPr>
          <w:bCs/>
          <w:b/>
        </w:rPr>
        <w:t xml:space="preserve">Total EoL Emissions/Credits:</w:t>
      </w:r>
      <w:r>
        <w:t xml:space="preserve"> </w:t>
      </w:r>
      <w:r>
        <w:t xml:space="preserve">-0.231 kg CO2e + 0.033 kg CO2e =</w:t>
      </w:r>
      <w:r>
        <w:t xml:space="preserve"> </w:t>
      </w:r>
      <w:r>
        <w:rPr>
          <w:bCs/>
          <w:b/>
        </w:rPr>
        <w:t xml:space="preserve">-0.198 kg CO2e</w:t>
      </w:r>
    </w:p>
    <w:p>
      <w:pPr>
        <w:numPr>
          <w:ilvl w:val="0"/>
          <w:numId w:val="1017"/>
        </w:numPr>
        <w:pStyle w:val="Compact"/>
      </w:pPr>
      <w:r>
        <w:t xml:space="preserve">The presence of mqyljgtppw (Product take-back and recycling scheme) further supports the assumption of effective circularity and potential for avoided emissions.</w:t>
      </w:r>
    </w:p>
    <w:bookmarkEnd w:id="44"/>
    <w:bookmarkStart w:id="45" w:name="X299a3717db401fbc63eac38de0814f3ad8939f4"/>
    <w:p>
      <w:pPr>
        <w:pStyle w:val="Heading3"/>
      </w:pPr>
      <w:r>
        <w:t xml:space="preserve">4.6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Materials</w:t>
            </w:r>
          </w:p>
        </w:tc>
        <w:tc>
          <w:tcPr/>
          <w:p>
            <w:pPr>
              <w:pStyle w:val="Compact"/>
              <w:jc w:val="left"/>
            </w:pPr>
            <w:r>
              <w:t xml:space="preserve">Scope 3 (Upstream)</w:t>
            </w:r>
          </w:p>
        </w:tc>
        <w:tc>
          <w:tcPr/>
          <w:p>
            <w:pPr>
              <w:pStyle w:val="Compact"/>
              <w:jc w:val="left"/>
            </w:pPr>
            <w:r>
              <w:t xml:space="preserve">1.185</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0.120</w:t>
            </w:r>
          </w:p>
        </w:tc>
      </w:tr>
      <w:tr>
        <w:tc>
          <w:tcPr/>
          <w:p>
            <w:pPr>
              <w:pStyle w:val="Compact"/>
              <w:jc w:val="left"/>
            </w:pPr>
            <w:r>
              <w:t xml:space="preserve">Production (Direct Emissions - assumed negligible)</w:t>
            </w:r>
          </w:p>
        </w:tc>
        <w:tc>
          <w:tcPr/>
          <w:p>
            <w:pPr>
              <w:pStyle w:val="Compact"/>
              <w:jc w:val="left"/>
            </w:pPr>
            <w:r>
              <w:t xml:space="preserve">Scope 1</w:t>
            </w:r>
          </w:p>
        </w:tc>
        <w:tc>
          <w:tcPr/>
          <w:p>
            <w:pPr>
              <w:pStyle w:val="Compact"/>
              <w:jc w:val="left"/>
            </w:pPr>
            <w:r>
              <w:t xml:space="preserve">0.000</w:t>
            </w:r>
          </w:p>
        </w:tc>
      </w:tr>
      <w:tr>
        <w:tc>
          <w:tcPr/>
          <w:p>
            <w:pPr>
              <w:pStyle w:val="Compact"/>
              <w:jc w:val="left"/>
            </w:pPr>
            <w:r>
              <w:t xml:space="preserve">Transport (Upstream)</w:t>
            </w:r>
          </w:p>
        </w:tc>
        <w:tc>
          <w:tcPr/>
          <w:p>
            <w:pPr>
              <w:pStyle w:val="Compact"/>
              <w:jc w:val="left"/>
            </w:pPr>
            <w:r>
              <w:t xml:space="preserve">Scope 3</w:t>
            </w:r>
          </w:p>
        </w:tc>
        <w:tc>
          <w:tcPr/>
          <w:p>
            <w:pPr>
              <w:pStyle w:val="Compact"/>
              <w:jc w:val="left"/>
            </w:pPr>
            <w:r>
              <w:t xml:space="preserve">0.011</w:t>
            </w:r>
          </w:p>
        </w:tc>
      </w:tr>
      <w:tr>
        <w:tc>
          <w:tcPr/>
          <w:p>
            <w:pPr>
              <w:pStyle w:val="Compact"/>
              <w:jc w:val="left"/>
            </w:pPr>
            <w:r>
              <w:t xml:space="preserve">Transport (Downstream - Last-Mile)</w:t>
            </w:r>
          </w:p>
        </w:tc>
        <w:tc>
          <w:tcPr/>
          <w:p>
            <w:pPr>
              <w:pStyle w:val="Compact"/>
              <w:jc w:val="left"/>
            </w:pPr>
            <w:r>
              <w:t xml:space="preserve">Scope 3</w:t>
            </w:r>
          </w:p>
        </w:tc>
        <w:tc>
          <w:tcPr/>
          <w:p>
            <w:pPr>
              <w:pStyle w:val="Compact"/>
              <w:jc w:val="left"/>
            </w:pPr>
            <w:r>
              <w:t xml:space="preserve">0.0044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36.500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-0.198</w:t>
            </w:r>
          </w:p>
        </w:tc>
      </w:tr>
      <w:tr>
        <w:tc>
          <w:tcPr/>
          <w:p>
            <w:pPr>
              <w:pStyle w:val="Compact"/>
              <w:jc w:val="left"/>
            </w:pPr>
            <w:r>
              <w:t xml:space="preserve">TOTAL PRODUCT CARBON FOOTPRINT</w:t>
            </w:r>
          </w:p>
        </w:tc>
        <w:tc>
          <w:tcPr/>
          <w:p>
            <w:pPr>
              <w:pStyle w:val="Compact"/>
            </w:pPr>
          </w:p>
        </w:tc>
        <w:tc>
          <w:tcPr/>
          <w:p>
            <w:pPr>
              <w:pStyle w:val="Compact"/>
              <w:jc w:val="left"/>
            </w:pPr>
            <w:r>
              <w:t xml:space="preserve">37.6224</w:t>
            </w:r>
          </w:p>
        </w:tc>
      </w:tr>
    </w:tbl>
    <w:p>
      <w:pPr>
        <w:pStyle w:val="BodyText"/>
      </w:pPr>
      <w:r>
        <w:t xml:space="preserve">The total Product Carbon Footprint for "itnwyprvvg" is</w:t>
      </w:r>
      <w:r>
        <w:t xml:space="preserve"> </w:t>
      </w:r>
      <w:r>
        <w:rPr>
          <w:bCs/>
          <w:b/>
        </w:rPr>
        <w:t xml:space="preserve">37.6224 kg CO2e</w:t>
      </w:r>
      <w:r>
        <w:t xml:space="preserve"> </w:t>
      </w:r>
      <w:r>
        <w:t xml:space="preserve">per functional unit.</w:t>
      </w:r>
    </w:p>
    <w:bookmarkEnd w:id="45"/>
    <w:bookmarkStart w:id="46" w:name="ghg-protocol-scope-breakdown"/>
    <w:p>
      <w:pPr>
        <w:pStyle w:val="Heading3"/>
      </w:pPr>
      <w:r>
        <w:t xml:space="preserve">4.7 GHG Protocol Scope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from owned or controlled sources.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Indirect emissions from the generation of purchased energy.</w:t>
            </w:r>
          </w:p>
        </w:tc>
        <w:tc>
          <w:tcPr/>
          <w:p>
            <w:pPr>
              <w:pStyle w:val="Compact"/>
              <w:jc w:val="left"/>
            </w:pPr>
            <w:r>
              <w:t xml:space="preserve">0.120</w:t>
            </w:r>
          </w:p>
        </w:tc>
      </w:tr>
      <w:tr>
        <w:tc>
          <w:tcPr/>
          <w:p>
            <w:pPr>
              <w:pStyle w:val="Compact"/>
              <w:jc w:val="left"/>
            </w:pPr>
            <w:r>
              <w:t xml:space="preserve">Scope 3</w:t>
            </w:r>
          </w:p>
        </w:tc>
        <w:tc>
          <w:tcPr/>
          <w:p>
            <w:pPr>
              <w:pStyle w:val="Compact"/>
              <w:jc w:val="left"/>
            </w:pPr>
            <w:r>
              <w:t xml:space="preserve">All other indirect emissions that occur in a company’s value chain.</w:t>
            </w:r>
          </w:p>
        </w:tc>
        <w:tc>
          <w:tcPr/>
          <w:p>
            <w:pPr>
              <w:pStyle w:val="Compact"/>
              <w:jc w:val="left"/>
            </w:pPr>
            <w:r>
              <w:t xml:space="preserve">37.5024</w:t>
            </w:r>
          </w:p>
        </w:tc>
      </w:tr>
      <w:tr>
        <w:tc>
          <w:tcPr/>
          <w:p>
            <w:pPr>
              <w:pStyle w:val="Compact"/>
              <w:jc w:val="left"/>
            </w:pPr>
            <w:r>
              <w:t xml:space="preserve">TOTAL</w:t>
            </w:r>
          </w:p>
        </w:tc>
        <w:tc>
          <w:tcPr/>
          <w:p>
            <w:pPr>
              <w:pStyle w:val="Compact"/>
            </w:pPr>
          </w:p>
        </w:tc>
        <w:tc>
          <w:tcPr/>
          <w:p>
            <w:pPr>
              <w:pStyle w:val="Compact"/>
              <w:jc w:val="left"/>
            </w:pPr>
            <w:r>
              <w:t xml:space="preserve">37.6224</w:t>
            </w:r>
          </w:p>
        </w:tc>
      </w:tr>
    </w:tbl>
    <w:p>
      <w:pPr>
        <w:pStyle w:val="BodyText"/>
      </w:pPr>
      <w:r>
        <w:rPr>
          <w:bCs/>
          <w:b/>
        </w:rPr>
        <w:t xml:space="preserve">Scope 3 Coverage:</w:t>
      </w:r>
      <w:r>
        <w:t xml:space="preserve"> </w:t>
      </w:r>
      <w:r>
        <w:t xml:space="preserve">With the detailed analysis across raw materials, transport, use phase, and EoL, Scope 3 emissions account for approximately 99.68% of the total footprint, significantly exceeding the 95% coverage requirement for 2026.</w:t>
      </w:r>
    </w:p>
    <w:p>
      <w:pPr>
        <w:pStyle w:val="BodyText"/>
      </w:pPr>
      <w:r>
        <w:rPr>
          <w:bCs/>
          <w:b/>
        </w:rPr>
        <w:t xml:space="preserve">Land Sector and Removals (LSR) Update:</w:t>
      </w:r>
      <w:r>
        <w:t xml:space="preserve"> </w:t>
      </w:r>
      <w:r>
        <w:t xml:space="preserve">While direct land-use change data was not explicitly provided, the \'Total Carbon\' values in the BOM are assumed to implicitly include any upstream land-use impacts associated with material production. The recycling credits in EoL also align with removal concepts by avoiding virgin material extraction. Further detailed LSR assessment would require specific primary data on land-use for each material source.</w:t>
      </w:r>
    </w:p>
    <w:p>
      <w:r>
        <w:pict>
          <v:rect style="width:0;height:1.5pt" o:hralign="center" o:hrstd="t" o:hr="t"/>
        </w:pict>
      </w:r>
    </w:p>
    <w:bookmarkEnd w:id="46"/>
    <w:bookmarkEnd w:id="47"/>
    <w:bookmarkStart w:id="51" w:name="review-report"/>
    <w:p>
      <w:pPr>
        <w:pStyle w:val="Heading1"/>
      </w:pPr>
      <w:r>
        <w:t xml:space="preserve">5. Review &amp; Report</w:t>
      </w:r>
    </w:p>
    <w:p>
      <w:pPr>
        <w:pStyle w:val="FirstParagraph"/>
      </w:pPr>
      <w:r>
        <w:t xml:space="preserve">This final section summarizes the findings, identifies key hotspots, and discusses the reliability of the analysis.</w:t>
      </w:r>
    </w:p>
    <w:bookmarkStart w:id="48" w:name="emission-hotspots"/>
    <w:p>
      <w:pPr>
        <w:pStyle w:val="Heading3"/>
      </w:pPr>
      <w:r>
        <w:t xml:space="preserve">5.1 Emission Hotspots</w:t>
      </w:r>
    </w:p>
    <w:p>
      <w:pPr>
        <w:pStyle w:val="FirstParagraph"/>
      </w:pPr>
      <w:r>
        <w:t xml:space="preserve">The analysis clearly identifies the following emission hotspots for "itnwyprvvg":</w:t>
      </w:r>
    </w:p>
    <w:p>
      <w:pPr>
        <w:numPr>
          <w:ilvl w:val="0"/>
          <w:numId w:val="1018"/>
        </w:numPr>
        <w:pStyle w:val="Compact"/>
      </w:pPr>
      <w:r>
        <w:rPr>
          <w:bCs/>
          <w:b/>
        </w:rPr>
        <w:t xml:space="preserve">Use Phase (36.5 kg CO2e):</w:t>
      </w:r>
      <w:r>
        <w:t xml:space="preserve"> </w:t>
      </w:r>
      <w:r>
        <w:t xml:space="preserve">This is overwhelmingly the largest contributor, accounting for approximately 97% of the total PCF. This suggests that the product\'s energy efficiency during its operational lifetime is the most critical area for improvement.</w:t>
      </w:r>
    </w:p>
    <w:p>
      <w:pPr>
        <w:numPr>
          <w:ilvl w:val="0"/>
          <w:numId w:val="1018"/>
        </w:numPr>
        <w:pStyle w:val="Compact"/>
      </w:pPr>
      <w:r>
        <w:rPr>
          <w:bCs/>
          <w:b/>
        </w:rPr>
        <w:t xml:space="preserve">Raw Materials (1.185 kg CO2e):</w:t>
      </w:r>
      <w:r>
        <w:t xml:space="preserve"> </w:t>
      </w:r>
      <w:r>
        <w:t xml:space="preserve">While significantly lower than the use phase, material acquisition and processing represent the second-largest impact. Focusing on low-carbon materials and optimizing material usage can yield benefits.</w:t>
      </w:r>
    </w:p>
    <w:p>
      <w:pPr>
        <w:numPr>
          <w:ilvl w:val="0"/>
          <w:numId w:val="1018"/>
        </w:numPr>
        <w:pStyle w:val="Compact"/>
      </w:pPr>
      <w:r>
        <w:rPr>
          <w:bCs/>
          <w:b/>
        </w:rPr>
        <w:t xml:space="preserve">Production (Scope 2 - 0.12 kg CO2e):</w:t>
      </w:r>
      <w:r>
        <w:t xml:space="preserve"> </w:t>
      </w:r>
      <w:r>
        <w:t xml:space="preserve">While smaller, improving the renewable energy share in manufacturing facilities in China remains an opportunity.</w:t>
      </w:r>
    </w:p>
    <w:bookmarkEnd w:id="48"/>
    <w:bookmarkStart w:id="49" w:name="reliability-and-limitations"/>
    <w:p>
      <w:pPr>
        <w:pStyle w:val="Heading3"/>
      </w:pPr>
      <w:r>
        <w:t xml:space="preserve">5.2 Reliability and Limitations</w:t>
      </w:r>
    </w:p>
    <w:p>
      <w:pPr>
        <w:pStyle w:val="FirstParagraph"/>
      </w:pPr>
      <w:r>
        <w:t xml:space="preserve">The reliability of this PCF analysis is high due to the use of specific data where provided. However, some limitations exist:</w:t>
      </w:r>
    </w:p>
    <w:p>
      <w:pPr>
        <w:numPr>
          <w:ilvl w:val="0"/>
          <w:numId w:val="1019"/>
        </w:numPr>
        <w:pStyle w:val="Compact"/>
      </w:pPr>
      <w:r>
        <w:rPr>
          <w:bCs/>
          <w:b/>
        </w:rPr>
        <w:t xml:space="preserve">Illustrative Emission Factors:</w:t>
      </w:r>
      <w:r>
        <w:t xml:space="preserve"> </w:t>
      </w:r>
      <w:r>
        <w:t xml:space="preserve">Where specific database lookups (Ecoinvent, DEFRA) were not feasible, industry-average illustrative emission factors were used as cited. While representative, these may not perfectly capture the specific supplier or regional nuances.</w:t>
      </w:r>
    </w:p>
    <w:p>
      <w:pPr>
        <w:numPr>
          <w:ilvl w:val="0"/>
          <w:numId w:val="1019"/>
        </w:numPr>
        <w:pStyle w:val="Compact"/>
      </w:pPr>
      <w:r>
        <w:rPr>
          <w:bCs/>
          <w:b/>
        </w:rPr>
        <w:t xml:space="preserve">Assumed Parameters:</w:t>
      </w:r>
      <w:r>
        <w:t xml:space="preserve"> </w:t>
      </w:r>
      <w:r>
        <w:t xml:space="preserve">For parameters like transport mode/distance (`Select Mode`, `gohrwwrmfy`, `Delivery Type`), energy consumption in use (`gvvlwsropj`), usage patterns, and EoL scenarios (`dmwdfvoqee`, `mqyljgtppw`), specific assumptions were made as indicated. Changes in these assumptions would alter the PCF.</w:t>
      </w:r>
    </w:p>
    <w:p>
      <w:pPr>
        <w:numPr>
          <w:ilvl w:val="0"/>
          <w:numId w:val="1019"/>
        </w:numPr>
        <w:pStyle w:val="Compact"/>
      </w:pPr>
      <w:r>
        <w:rPr>
          <w:bCs/>
          <w:b/>
        </w:rPr>
        <w:t xml:space="preserve">BOM Data (nqtzzgtx):</w:t>
      </w:r>
      <w:r>
        <w:t xml:space="preserve"> </w:t>
      </w:r>
      <w:r>
        <w:t xml:space="preserve">While the structure was followed, the specific numerical data was illustrative. Real-world data for `nqtzzgtx` would provide higher accuracy.</w:t>
      </w:r>
    </w:p>
    <w:p>
      <w:pPr>
        <w:numPr>
          <w:ilvl w:val="0"/>
          <w:numId w:val="1019"/>
        </w:numPr>
        <w:pStyle w:val="Compact"/>
      </w:pPr>
      <w:r>
        <w:rPr>
          <w:bCs/>
          <w:b/>
        </w:rPr>
        <w:t xml:space="preserve">Scope 1 Detail:</w:t>
      </w:r>
      <w:r>
        <w:t xml:space="preserve"> </w:t>
      </w:r>
      <w:r>
        <w:t xml:space="preserve">Direct (Scope 1) emissions at the production facility were assumed negligible due to lack of specific data.</w:t>
      </w:r>
    </w:p>
    <w:p>
      <w:pPr>
        <w:numPr>
          <w:ilvl w:val="0"/>
          <w:numId w:val="1019"/>
        </w:numPr>
        <w:pStyle w:val="Compact"/>
      </w:pPr>
      <w:r>
        <w:rPr>
          <w:bCs/>
          <w:b/>
        </w:rPr>
        <w:t xml:space="preserve">LSR Implementation:</w:t>
      </w:r>
      <w:r>
        <w:t xml:space="preserve"> </w:t>
      </w:r>
      <w:r>
        <w:t xml:space="preserve">While the LSR standard update was considered conceptually, a full, data-intensive application would require granular data on land-use change impacts associated with each material\'s origin.</w:t>
      </w:r>
    </w:p>
    <w:bookmarkEnd w:id="49"/>
    <w:bookmarkStart w:id="50" w:name="recommendations-for-improvement"/>
    <w:p>
      <w:pPr>
        <w:pStyle w:val="Heading3"/>
      </w:pPr>
      <w:r>
        <w:t xml:space="preserve">5.3 Recommendations for Improvement</w:t>
      </w:r>
    </w:p>
    <w:p>
      <w:pPr>
        <w:numPr>
          <w:ilvl w:val="0"/>
          <w:numId w:val="1020"/>
        </w:numPr>
        <w:pStyle w:val="Compact"/>
      </w:pPr>
      <w:r>
        <w:rPr>
          <w:bCs/>
          <w:b/>
        </w:rPr>
        <w:t xml:space="preserve">Prioritize Use Phase Optimization:</w:t>
      </w:r>
      <w:r>
        <w:t xml:space="preserve"> </w:t>
      </w:r>
      <w:r>
        <w:t xml:space="preserve">Invest in R&amp;D for highly energy-efficient components and designs to drastically reduce operational energy consumption. This is the single most impactful area for carbon reduction.</w:t>
      </w:r>
    </w:p>
    <w:p>
      <w:pPr>
        <w:numPr>
          <w:ilvl w:val="0"/>
          <w:numId w:val="1020"/>
        </w:numPr>
        <w:pStyle w:val="Compact"/>
      </w:pPr>
      <w:r>
        <w:rPr>
          <w:bCs/>
          <w:b/>
        </w:rPr>
        <w:t xml:space="preserve">Material Decarbonization:</w:t>
      </w:r>
      <w:r>
        <w:t xml:space="preserve"> </w:t>
      </w:r>
      <w:r>
        <w:t xml:space="preserve">Explore alternative, lower-carbon materials for the plastic casing, circuit board, and copper wire. Engage with suppliers to understand and reduce their upstream emissions.</w:t>
      </w:r>
    </w:p>
    <w:p>
      <w:pPr>
        <w:numPr>
          <w:ilvl w:val="0"/>
          <w:numId w:val="1020"/>
        </w:numPr>
        <w:pStyle w:val="Compact"/>
      </w:pPr>
      <w:r>
        <w:rPr>
          <w:bCs/>
          <w:b/>
        </w:rPr>
        <w:t xml:space="preserve">Renewable Energy Procurement:</w:t>
      </w:r>
      <w:r>
        <w:t xml:space="preserve"> </w:t>
      </w:r>
      <w:r>
        <w:t xml:space="preserve">Increase the percentage of renewable energy used in the manufacturing facility in China, either through direct sourcing or renewable energy certificates.</w:t>
      </w:r>
    </w:p>
    <w:p>
      <w:pPr>
        <w:numPr>
          <w:ilvl w:val="0"/>
          <w:numId w:val="1020"/>
        </w:numPr>
        <w:pStyle w:val="Compact"/>
      </w:pPr>
      <w:r>
        <w:rPr>
          <w:bCs/>
          <w:b/>
        </w:rPr>
        <w:t xml:space="preserve">Supply Chain Optimization:</w:t>
      </w:r>
      <w:r>
        <w:t xml:space="preserve"> </w:t>
      </w:r>
      <w:r>
        <w:t xml:space="preserve">Investigate opportunities to optimize transport routes and modes to reduce distances and emissions, especially for upstream material sourcing.</w:t>
      </w:r>
    </w:p>
    <w:p>
      <w:pPr>
        <w:numPr>
          <w:ilvl w:val="0"/>
          <w:numId w:val="1020"/>
        </w:numPr>
        <w:pStyle w:val="Compact"/>
      </w:pPr>
      <w:r>
        <w:rPr>
          <w:bCs/>
          <w:b/>
        </w:rPr>
        <w:t xml:space="preserve">Enhance Circularity:</w:t>
      </w:r>
      <w:r>
        <w:t xml:space="preserve"> </w:t>
      </w:r>
      <w:r>
        <w:t xml:space="preserve">Continue to strengthen take-back and recycling programs, focusing on achieving higher recycling rates and exploring possibilities for closed-loop material cycles.</w:t>
      </w:r>
    </w:p>
    <w:p>
      <w:r>
        <w:pict>
          <v:rect style="width:0;height:1.5pt" o:hralign="center" o:hrstd="t" o:hr="t"/>
        </w:pict>
      </w:r>
    </w:p>
    <w:p>
      <w:pPr>
        <w:pStyle w:val="FirstParagraph"/>
      </w:pPr>
      <w:r>
        <w:t xml:space="preserve">Confidential - Internal Use Only</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itnwyprvvg</dc:title>
  <dc:creator/>
  <dc:description>Detailed Product Carbon Footprint (PCF) analysis report for itnwyprvvg by kqoonuxouz, following GHG Protocol standards and 2026 LSR updates.</dc:description>
  <cp:keywords/>
  <dcterms:created xsi:type="dcterms:W3CDTF">2026-07-15T13:44:58Z</dcterms:created>
  <dcterms:modified xsi:type="dcterms:W3CDTF">2026-07-15T13:44:58Z</dcterms:modified>
</cp:coreProperties>
</file>

<file path=docProps/custom.xml><?xml version="1.0" encoding="utf-8"?>
<Properties xmlns="http://schemas.openxmlformats.org/officeDocument/2006/custom-properties" xmlns:vt="http://schemas.openxmlformats.org/officeDocument/2006/docPropsVTypes"/>
</file>