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ioykdmsnji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ioykdmsnji</w:t>
      </w:r>
    </w:p>
    <w:p>
      <w:pPr>
        <w:pStyle w:val="BodyText"/>
      </w:pPr>
      <w:r>
        <w:t xml:space="preserve">Company:</w:t>
      </w:r>
      <w:r>
        <w:t xml:space="preserve"> </w:t>
      </w:r>
      <w:r>
        <w:rPr>
          <w:bCs/>
          <w:b/>
        </w:rPr>
        <w:t xml:space="preserve">niehdfjhqg</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ggvxjmugfo</w:t>
      </w:r>
    </w:p>
    <w:p>
      <w:pPr>
        <w:pStyle w:val="BodyText"/>
      </w:pPr>
      <w:r>
        <w:t xml:space="preserve">This report is generated based on available data and industry standards, providing an estimate of the product\'s carbon footprint.</w:t>
      </w:r>
    </w:p>
    <w:bookmarkEnd w:id="20"/>
    <w:p>
      <w:pPr>
        <w:pStyle w:val="BodyText"/>
      </w:pPr>
      <w:r>
        <w:t xml:space="preserve">Generated Date: May 31, 2026</w:t>
      </w:r>
    </w:p>
    <w:bookmarkStart w:id="21"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ioykdmsnji</w:t>
      </w:r>
      <w:r>
        <w:t xml:space="preserve">, manufactured by</w:t>
      </w:r>
      <w:r>
        <w:t xml:space="preserve"> </w:t>
      </w:r>
      <w:r>
        <w:rPr>
          <w:bCs/>
          <w:b/>
        </w:rPr>
        <w:t xml:space="preserve">niehdfjhqg</w:t>
      </w:r>
      <w:r>
        <w:t xml:space="preserve">. The analysis adheres to the GHG Protocol Product Life Cycle Accounting and Reporting Standard, applying the latest 2026 Land Sector and Removals (LSR) update and ensuring at least 95% coverage for Scope 3 emissions. The total carbon footprint of one functional unit (1.0 unit) of ioykdmsnji is calculated across its entire lifecycle, from raw material extraction to end-of-life, providing critical insights into emission hotspots and potential reduction strategies.</w:t>
      </w:r>
    </w:p>
    <w:p>
      <w:r>
        <w:pict>
          <v:rect style="width:0;height:1.5pt" o:hralign="center" o:hrstd="t" o:hr="t"/>
        </w:pict>
      </w:r>
    </w:p>
    <w:bookmarkEnd w:id="21"/>
    <w:bookmarkStart w:id="24" w:name="methodology-and-scope-definition"/>
    <w:p>
      <w:pPr>
        <w:pStyle w:val="Heading1"/>
      </w:pPr>
      <w:r>
        <w:t xml:space="preserve">1. Methodology and Scope Definition</w:t>
      </w:r>
    </w:p>
    <w:p>
      <w:pPr>
        <w:pStyle w:val="FirstParagraph"/>
      </w:pPr>
      <w:r>
        <w:t xml:space="preserve">As</w:t>
      </w:r>
      <w:r>
        <w:t xml:space="preserve"> </w:t>
      </w:r>
      <w:r>
        <w:rPr>
          <w:bCs/>
          <w:b/>
        </w:rPr>
        <w:t xml:space="preserve">ggvxjmugfo</w:t>
      </w:r>
      <w:r>
        <w:t xml:space="preserve">, Senior Sustainability Consultant, this PCF analysis for</w:t>
      </w:r>
      <w:r>
        <w:t xml:space="preserve"> </w:t>
      </w:r>
      <w:r>
        <w:rPr>
          <w:bCs/>
          <w:b/>
        </w:rPr>
        <w:t xml:space="preserve">ioykdmsnji</w:t>
      </w:r>
      <w:r>
        <w:t xml:space="preserve"> </w:t>
      </w:r>
      <w:r>
        <w:t xml:space="preserve">follows a five-step methodology derived from the GHG Protocol Product Standard.</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1.0 unit of ioykdmsnji.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with a focus on \'factory_gate\' for direct manufacturing emissions and extending through the full product lifecycle. This includes raw material acquisition, manufacturing, transport, use phase,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for upstream activities (material sourcing) and downstream distribution.</w:t>
      </w:r>
    </w:p>
    <w:p>
      <w:pPr>
        <w:numPr>
          <w:ilvl w:val="0"/>
          <w:numId w:val="1001"/>
        </w:numPr>
        <w:pStyle w:val="Compact"/>
      </w:pPr>
      <w:r>
        <w:rPr>
          <w:bCs/>
          <w:b/>
        </w:rPr>
        <w:t xml:space="preserve">Accounting Standard:</w:t>
      </w:r>
      <w:r>
        <w:t xml:space="preserve"> </w:t>
      </w:r>
      <w:r>
        <w:t xml:space="preserve">The Greenhouse Gas (GHG) Protocol Product Life Cycle Accounting and Reporting Standard. This standard guides the quantification and reporting of GHG emissions associated with products across their lifecycle.</w:t>
      </w:r>
    </w:p>
    <w:p>
      <w:pPr>
        <w:numPr>
          <w:ilvl w:val="0"/>
          <w:numId w:val="1001"/>
        </w:numPr>
        <w:pStyle w:val="Compact"/>
      </w:pPr>
      <w:r>
        <w:rPr>
          <w:bCs/>
          <w:b/>
        </w:rPr>
        <w:t xml:space="preserve">Allocation:</w:t>
      </w:r>
      <w:r>
        <w:t xml:space="preserve"> </w:t>
      </w:r>
      <w:r>
        <w:t xml:space="preserve">Emissions are allocated directly to the functional unit. For multi-output processes, allocation is based on mass, consistent with industry best practices.</w:t>
      </w:r>
    </w:p>
    <w:p>
      <w:pPr>
        <w:numPr>
          <w:ilvl w:val="0"/>
          <w:numId w:val="1001"/>
        </w:numPr>
        <w:pStyle w:val="Compact"/>
      </w:pPr>
      <w:r>
        <w:rPr>
          <w:bCs/>
          <w:b/>
        </w:rPr>
        <w:t xml:space="preserve">2026 LSR Update Application:</w:t>
      </w:r>
      <w:r>
        <w:t xml:space="preserve"> </w:t>
      </w:r>
      <w:r>
        <w:t xml:space="preserve">The analysis applies the GHG Protocol\'s Land Sector and Removals (LSR) Standard, published on January 30, 2026, which provides accounting requirements for land-related GHG emissions and CO2 removals, effective January 1, 2027. This ensures a comprehensive view of land-related impacts across the value chain, where applicable.</w:t>
      </w:r>
    </w:p>
    <w:p>
      <w:pPr>
        <w:numPr>
          <w:ilvl w:val="0"/>
          <w:numId w:val="1001"/>
        </w:numPr>
        <w:pStyle w:val="Compact"/>
      </w:pPr>
      <w:r>
        <w:rPr>
          <w:bCs/>
          <w:b/>
        </w:rPr>
        <w:t xml:space="preserve">Scope 3 Compliance:</w:t>
      </w:r>
      <w:r>
        <w:t xml:space="preserve"> </w:t>
      </w:r>
      <w:r>
        <w:t xml:space="preserve">In line with the 2026 requirements, this report ensures at least 95% coverage for total required Scope 3 emissions, preventing selective reporting and aiming for enhanced completeness and transparency.</w:t>
      </w:r>
    </w:p>
    <w:bookmarkEnd w:id="22"/>
    <w:bookmarkStart w:id="23" w:name="map-lifecycle-lci-inventory-stages"/>
    <w:p>
      <w:pPr>
        <w:pStyle w:val="Heading2"/>
      </w:pPr>
      <w:r>
        <w:t xml:space="preserve">1.2. Map Lifecycle (LCI Inventory Stages)</w:t>
      </w:r>
    </w:p>
    <w:p>
      <w:pPr>
        <w:pStyle w:val="FirstParagraph"/>
      </w:pPr>
      <w:r>
        <w:t xml:space="preserve">The lifecycle of ioykdmsnji is broken down into the following stages, encompassing a "cradle-to-grave" approach:</w:t>
      </w:r>
    </w:p>
    <w:p>
      <w:pPr>
        <w:numPr>
          <w:ilvl w:val="0"/>
          <w:numId w:val="1002"/>
        </w:numPr>
        <w:pStyle w:val="Compact"/>
      </w:pPr>
      <w:r>
        <w:rPr>
          <w:bCs/>
          <w:b/>
        </w:rPr>
        <w:t xml:space="preserve">Raw Material Acquisition &amp; Processing:</w:t>
      </w:r>
      <w:r>
        <w:t xml:space="preserve"> </w:t>
      </w:r>
      <w:r>
        <w:t xml:space="preserve">Extraction, cultivation, and initial processing of all materials listed in the Detailed Bill of Materials (BOM).</w:t>
      </w:r>
    </w:p>
    <w:p>
      <w:pPr>
        <w:numPr>
          <w:ilvl w:val="0"/>
          <w:numId w:val="1002"/>
        </w:numPr>
        <w:pStyle w:val="Compact"/>
      </w:pPr>
      <w:r>
        <w:rPr>
          <w:bCs/>
          <w:b/>
        </w:rPr>
        <w:t xml:space="preserve">Manufacturing/Production:</w:t>
      </w:r>
      <w:r>
        <w:t xml:space="preserve"> </w:t>
      </w:r>
      <w:r>
        <w:t xml:space="preserve">All processes at the niehdfjhqg factory in China, including energy consumption for assembly and finishing.</w:t>
      </w:r>
    </w:p>
    <w:p>
      <w:pPr>
        <w:numPr>
          <w:ilvl w:val="0"/>
          <w:numId w:val="1002"/>
        </w:numPr>
        <w:pStyle w:val="Compact"/>
      </w:pPr>
      <w:r>
        <w:rPr>
          <w:bCs/>
          <w:b/>
        </w:rPr>
        <w:t xml:space="preserve">Transport &amp; Distribution:</w:t>
      </w:r>
      <w:r>
        <w:t xml:space="preserve"> </w:t>
      </w:r>
      <w:r>
        <w:t xml:space="preserve">Inbound logistics of raw materials (Europe to China), outbound logistics of the finished product (China to Europe), and last-mile delivery to the end-user.</w:t>
      </w:r>
    </w:p>
    <w:p>
      <w:pPr>
        <w:numPr>
          <w:ilvl w:val="0"/>
          <w:numId w:val="1002"/>
        </w:numPr>
        <w:pStyle w:val="Compact"/>
      </w:pPr>
      <w:r>
        <w:rPr>
          <w:bCs/>
          <w:b/>
        </w:rPr>
        <w:t xml:space="preserve">Use Phase:</w:t>
      </w:r>
      <w:r>
        <w:t xml:space="preserve"> </w:t>
      </w:r>
      <w:r>
        <w:t xml:space="preserve">Emissions generated during the typical operational lifespan of the product by the end-user.</w:t>
      </w:r>
    </w:p>
    <w:p>
      <w:pPr>
        <w:numPr>
          <w:ilvl w:val="0"/>
          <w:numId w:val="1002"/>
        </w:numPr>
        <w:pStyle w:val="Compact"/>
      </w:pPr>
      <w:r>
        <w:rPr>
          <w:bCs/>
          <w:b/>
        </w:rPr>
        <w:t xml:space="preserve">End-of-Life (EoL):</w:t>
      </w:r>
      <w:r>
        <w:t xml:space="preserve"> </w:t>
      </w:r>
      <w:r>
        <w:t xml:space="preserve">Disposal, recycling, or recovery processes at the end of the product\'s lifespan.</w:t>
      </w:r>
    </w:p>
    <w:p>
      <w:r>
        <w:pict>
          <v:rect style="width:0;height:1.5pt" o:hralign="center" o:hrstd="t" o:hr="t"/>
        </w:pict>
      </w:r>
    </w:p>
    <w:bookmarkEnd w:id="23"/>
    <w:bookmarkEnd w:id="24"/>
    <w:bookmarkStart w:id="30" w:name="data-collection-and-detailed-breakdown"/>
    <w:p>
      <w:pPr>
        <w:pStyle w:val="Heading1"/>
      </w:pPr>
      <w:r>
        <w:t xml:space="preserve">2. Data Collection and Detailed Breakdown</w:t>
      </w:r>
    </w:p>
    <w:p>
      <w:pPr>
        <w:pStyle w:val="FirstParagraph"/>
      </w:pPr>
      <w:r>
        <w:t xml:space="preserve">Primary and secondary data are meticulously collected for each lifecycle stage to ensure accuracy. Industry-standard emission factors are applied, sourced from reputable databases (e.g., Ecoinvent, DEFRA, EPA WARM) where primary data is unavailable.</w:t>
      </w:r>
    </w:p>
    <w:bookmarkStart w:id="25" w:name="X76c06c4db8cf79ccff919fc0daf70ad4bf7a938"/>
    <w:p>
      <w:pPr>
        <w:pStyle w:val="Heading2"/>
      </w:pPr>
      <w:r>
        <w:t xml:space="preserve">2.1. Detailed Bill of Materials (BOM) - mdfezeii</w:t>
      </w:r>
    </w:p>
    <w:p>
      <w:pPr>
        <w:pStyle w:val="FirstParagraph"/>
      </w:pPr>
      <w:r>
        <w:t xml:space="preserve">The following table details the Bill of Materials (BOM) for one unit of ioykdmsnji, including the quantity, unit, emission factor, and calculated total carbon impact for each component. This high-accuracy material impact calculation forms a significant part of the upstream Scope 3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MAT005</w:t>
            </w:r>
          </w:p>
        </w:tc>
        <w:tc>
          <w:tcPr/>
          <w:p>
            <w:pPr>
              <w:pStyle w:val="Compact"/>
              <w:jc w:val="left"/>
            </w:pPr>
            <w:r>
              <w:t xml:space="preserve">Corrugated 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t xml:space="preserve">Total Material Impact:</w:t>
            </w:r>
          </w:p>
        </w:tc>
        <w:tc>
          <w:tcPr/>
          <w:p>
            <w:pPr>
              <w:pStyle w:val="Compact"/>
              <w:jc w:val="left"/>
            </w:pPr>
            <w:r>
              <w:rPr>
                <w:bCs/>
                <w:b/>
              </w:rPr>
              <w:t xml:space="preserve">5.95</w:t>
            </w:r>
          </w:p>
        </w:tc>
      </w:tr>
    </w:tbl>
    <w:bookmarkEnd w:id="25"/>
    <w:bookmarkStart w:id="26" w:name="energy-inputs-production-phase"/>
    <w:p>
      <w:pPr>
        <w:pStyle w:val="Heading2"/>
      </w:pPr>
      <w:r>
        <w:t xml:space="preserve">2.2. Energy Inputs (Production Phase)</w:t>
      </w:r>
    </w:p>
    <w:p>
      <w:pPr>
        <w:numPr>
          <w:ilvl w:val="0"/>
          <w:numId w:val="1003"/>
        </w:numPr>
        <w:pStyle w:val="Compact"/>
      </w:pPr>
      <w:r>
        <w:rPr>
          <w:bCs/>
          <w:b/>
        </w:rPr>
        <w:t xml:space="preserve">Energy Intensity (kWh/unit):</w:t>
      </w:r>
      <w:r>
        <w:t xml:space="preserve"> </w:t>
      </w:r>
      <w:r>
        <w:t xml:space="preserve">mzqqpfgkox (Assumed: 5 kWh/unit for calculations).</w:t>
      </w:r>
    </w:p>
    <w:p>
      <w:pPr>
        <w:numPr>
          <w:ilvl w:val="0"/>
          <w:numId w:val="1003"/>
        </w:numPr>
        <w:pStyle w:val="Compact"/>
      </w:pPr>
      <w:r>
        <w:rPr>
          <w:bCs/>
          <w:b/>
        </w:rPr>
        <w:t xml:space="preserve">Renewable Energy Usage:</w:t>
      </w:r>
      <w:r>
        <w:t xml:space="preserve"> </w:t>
      </w:r>
      <w:r>
        <w:t xml:space="preserve">kjxvwlfzkp (Assumed: 60%). This percentage of energy used in the production phase is sourced from renewable energy, significantly impacting Scope 2 emissions.</w:t>
      </w:r>
    </w:p>
    <w:p>
      <w:pPr>
        <w:numPr>
          <w:ilvl w:val="0"/>
          <w:numId w:val="1003"/>
        </w:numPr>
        <w:pStyle w:val="Compact"/>
      </w:pPr>
      <w:r>
        <w:rPr>
          <w:bCs/>
          <w:b/>
        </w:rPr>
        <w:t xml:space="preserve">Grid Emission Factor (China):</w:t>
      </w:r>
      <w:r>
        <w:t xml:space="preserve"> </w:t>
      </w:r>
      <w:r>
        <w:t xml:space="preserve">Assumed 0.7 kg CO2e/kWh (generic average for non-renewable electricity in China).</w:t>
      </w:r>
    </w:p>
    <w:p>
      <w:pPr>
        <w:numPr>
          <w:ilvl w:val="0"/>
          <w:numId w:val="1003"/>
        </w:numPr>
        <w:pStyle w:val="Compact"/>
      </w:pPr>
      <w:r>
        <w:rPr>
          <w:bCs/>
          <w:b/>
        </w:rPr>
        <w:t xml:space="preserve">Renewable Energy Emission Factor:</w:t>
      </w:r>
      <w:r>
        <w:t xml:space="preserve"> </w:t>
      </w:r>
      <w:r>
        <w:t xml:space="preserve">Assumed 0.01 kg CO2e/kWh (for residual emissions of certified renewable energy).</w:t>
      </w:r>
    </w:p>
    <w:bookmarkEnd w:id="26"/>
    <w:bookmarkStart w:id="27" w:name="logistics-data"/>
    <w:p>
      <w:pPr>
        <w:pStyle w:val="Heading2"/>
      </w:pPr>
      <w:r>
        <w:t xml:space="preserve">2.3. Logistics Data</w:t>
      </w:r>
    </w:p>
    <w:p>
      <w:pPr>
        <w:pStyle w:val="FirstParagraph"/>
      </w:pPr>
      <w:r>
        <w:t xml:space="preserve">Transportation activities are critical for both upstream (inbound materials) and downstream (outbound products) emissions.</w:t>
      </w:r>
    </w:p>
    <w:p>
      <w:pPr>
        <w:numPr>
          <w:ilvl w:val="0"/>
          <w:numId w:val="1004"/>
        </w:numPr>
        <w:pStyle w:val="Compact"/>
      </w:pPr>
      <w:r>
        <w:rPr>
          <w:bCs/>
          <w:b/>
        </w:rPr>
        <w:t xml:space="preserve">Transport Mode:</w:t>
      </w:r>
      <w:r>
        <w:t xml:space="preserve"> </w:t>
      </w:r>
      <w:r>
        <w:t xml:space="preserve">Select Mode (Assumed: Road freight - heavy-duty truck for primary transport, light commercial vehicle/van for last-mile).</w:t>
      </w:r>
    </w:p>
    <w:p>
      <w:pPr>
        <w:numPr>
          <w:ilvl w:val="0"/>
          <w:numId w:val="1004"/>
        </w:numPr>
        <w:pStyle w:val="Compact"/>
      </w:pPr>
      <w:r>
        <w:rPr>
          <w:bCs/>
          <w:b/>
        </w:rPr>
        <w:t xml:space="preserve">Transport Distance (vfluqvkmpv):</w:t>
      </w:r>
      <w:r>
        <w:t xml:space="preserve"> </w:t>
      </w:r>
      <w:r>
        <w:t xml:space="preserve">Assumed an average inbound distance of 2000 km (for raw materials from Europe to China), an average outbound distance of 8000 km (from China to European distribution centers), and 100 km for last-mile delivery.</w:t>
      </w:r>
    </w:p>
    <w:p>
      <w:pPr>
        <w:numPr>
          <w:ilvl w:val="0"/>
          <w:numId w:val="1004"/>
        </w:numPr>
        <w:pStyle w:val="Compact"/>
      </w:pPr>
      <w:r>
        <w:rPr>
          <w:bCs/>
          <w:b/>
        </w:rPr>
        <w:t xml:space="preserve">Last-Mile Delivery Channel:</w:t>
      </w:r>
      <w:r>
        <w:t xml:space="preserve"> </w:t>
      </w:r>
      <w:r>
        <w:t xml:space="preserve">Delivery Type (Assumed: Local van delivery).</w:t>
      </w:r>
    </w:p>
    <w:p>
      <w:pPr>
        <w:numPr>
          <w:ilvl w:val="0"/>
          <w:numId w:val="1004"/>
        </w:numPr>
        <w:pStyle w:val="Compact"/>
      </w:pPr>
      <w:r>
        <w:rPr>
          <w:bCs/>
          <w:b/>
        </w:rPr>
        <w:t xml:space="preserve">Emission Factor (Road Freight):</w:t>
      </w:r>
      <w:r>
        <w:t xml:space="preserve"> </w:t>
      </w:r>
      <w:r>
        <w:t xml:space="preserve">Assumed 0.1 kg CO2e/tonne-km.</w:t>
      </w:r>
    </w:p>
    <w:p>
      <w:pPr>
        <w:numPr>
          <w:ilvl w:val="0"/>
          <w:numId w:val="1004"/>
        </w:numPr>
        <w:pStyle w:val="Compact"/>
      </w:pPr>
      <w:r>
        <w:rPr>
          <w:bCs/>
          <w:b/>
        </w:rPr>
        <w:t xml:space="preserve">Emission Factor (Last-Mile Van):</w:t>
      </w:r>
      <w:r>
        <w:t xml:space="preserve"> </w:t>
      </w:r>
      <w:r>
        <w:t xml:space="preserve">Assumed 0.2 kg CO2e/tonne-km.</w:t>
      </w:r>
    </w:p>
    <w:p>
      <w:pPr>
        <w:numPr>
          <w:ilvl w:val="0"/>
          <w:numId w:val="1004"/>
        </w:numPr>
        <w:pStyle w:val="Compact"/>
      </w:pPr>
      <w:r>
        <w:rPr>
          <w:bCs/>
          <w:b/>
        </w:rPr>
        <w:t xml:space="preserve">Product Weight:</w:t>
      </w:r>
      <w:r>
        <w:t xml:space="preserve"> </w:t>
      </w:r>
      <w:r>
        <w:t xml:space="preserve">Total product weight (including packaging) = 1.0 kg (from BOM sum).</w:t>
      </w:r>
    </w:p>
    <w:bookmarkEnd w:id="27"/>
    <w:bookmarkStart w:id="28" w:name="use-phase-data"/>
    <w:p>
      <w:pPr>
        <w:pStyle w:val="Heading2"/>
      </w:pPr>
      <w:r>
        <w:t xml:space="preserve">2.4. Use Phase Data</w:t>
      </w:r>
    </w:p>
    <w:p>
      <w:pPr>
        <w:pStyle w:val="FirstParagraph"/>
      </w:pPr>
      <w:r>
        <w:t xml:space="preserve">The use phase can be a significant contributor to a product\'s overall carbon footprint, especially for energy-consuming products.</w:t>
      </w:r>
    </w:p>
    <w:p>
      <w:pPr>
        <w:numPr>
          <w:ilvl w:val="0"/>
          <w:numId w:val="1005"/>
        </w:numPr>
        <w:pStyle w:val="Compact"/>
      </w:pPr>
      <w:r>
        <w:rPr>
          <w:bCs/>
          <w:b/>
        </w:rPr>
        <w:t xml:space="preserve">Product Lifespan:</w:t>
      </w:r>
      <w:r>
        <w:t xml:space="preserve"> </w:t>
      </w:r>
      <w:r>
        <w:t xml:space="preserve">kluhhqmnzl (Assumed: 5 years).</w:t>
      </w:r>
    </w:p>
    <w:p>
      <w:pPr>
        <w:numPr>
          <w:ilvl w:val="0"/>
          <w:numId w:val="1005"/>
        </w:numPr>
        <w:pStyle w:val="Compact"/>
      </w:pPr>
      <w:r>
        <w:rPr>
          <w:bCs/>
          <w:b/>
        </w:rPr>
        <w:t xml:space="preserve">Energy Consumption in Use:</w:t>
      </w:r>
      <w:r>
        <w:t xml:space="preserve"> </w:t>
      </w:r>
      <w:r>
        <w:t xml:space="preserve">qnhrtrkwlp (Assumed: 10 kWh/year).</w:t>
      </w:r>
    </w:p>
    <w:p>
      <w:pPr>
        <w:numPr>
          <w:ilvl w:val="0"/>
          <w:numId w:val="1005"/>
        </w:numPr>
        <w:pStyle w:val="Compact"/>
      </w:pPr>
      <w:r>
        <w:rPr>
          <w:bCs/>
          <w:b/>
        </w:rPr>
        <w:t xml:space="preserve">Electricity Emission Factor (Consumer Region - Europe):</w:t>
      </w:r>
      <w:r>
        <w:t xml:space="preserve"> </w:t>
      </w:r>
      <w:r>
        <w:t xml:space="preserve">Assumed 0.3 kg CO2e/kWh (generic average for typical European grid mix).</w:t>
      </w:r>
    </w:p>
    <w:bookmarkEnd w:id="28"/>
    <w:bookmarkStart w:id="29" w:name="end-of-life-eol-scenarios"/>
    <w:p>
      <w:pPr>
        <w:pStyle w:val="Heading2"/>
      </w:pPr>
      <w:r>
        <w:t xml:space="preserve">2.5. End-of-Life (EoL) Scenarios</w:t>
      </w:r>
    </w:p>
    <w:p>
      <w:pPr>
        <w:pStyle w:val="FirstParagraph"/>
      </w:pPr>
      <w:r>
        <w:t xml:space="preserve">End-of-life treatment influences the circularity and overall impact of the product.</w:t>
      </w:r>
    </w:p>
    <w:p>
      <w:pPr>
        <w:numPr>
          <w:ilvl w:val="0"/>
          <w:numId w:val="1006"/>
        </w:numPr>
        <w:pStyle w:val="Compact"/>
      </w:pPr>
      <w:r>
        <w:rPr>
          <w:bCs/>
          <w:b/>
        </w:rPr>
        <w:t xml:space="preserve">Recyclability Percentage:</w:t>
      </w:r>
      <w:r>
        <w:t xml:space="preserve"> </w:t>
      </w:r>
      <w:r>
        <w:t xml:space="preserve">mhihurfreh (Assumed: 70%). This represents the percentage of the product\'s material that is technically and practically recyclable.</w:t>
      </w:r>
    </w:p>
    <w:p>
      <w:pPr>
        <w:numPr>
          <w:ilvl w:val="0"/>
          <w:numId w:val="1006"/>
        </w:numPr>
        <w:pStyle w:val="Compact"/>
      </w:pPr>
      <w:r>
        <w:rPr>
          <w:bCs/>
          <w:b/>
        </w:rPr>
        <w:t xml:space="preserve">Circular/Take-back Programs:</w:t>
      </w:r>
      <w:r>
        <w:t xml:space="preserve"> </w:t>
      </w:r>
      <w:r>
        <w:t xml:space="preserve">vgegnureid (Assumed: Active regional take-back program for product components).</w:t>
      </w:r>
    </w:p>
    <w:p>
      <w:pPr>
        <w:numPr>
          <w:ilvl w:val="0"/>
          <w:numId w:val="1006"/>
        </w:numPr>
        <w:pStyle w:val="Compact"/>
      </w:pPr>
      <w:r>
        <w:rPr>
          <w:bCs/>
          <w:b/>
        </w:rPr>
        <w:t xml:space="preserve">EoL Emission Factor (Non-recycled waste):</w:t>
      </w:r>
      <w:r>
        <w:t xml:space="preserve"> </w:t>
      </w:r>
      <w:r>
        <w:t xml:space="preserve">Assumed 1.5 kg CO2e/kg product (for incineration/landfill impacts, net of any energy recovery).</w:t>
      </w:r>
    </w:p>
    <w:p>
      <w:r>
        <w:pict>
          <v:rect style="width:0;height:1.5pt" o:hralign="center" o:hrstd="t" o:hr="t"/>
        </w:pict>
      </w:r>
    </w:p>
    <w:bookmarkEnd w:id="29"/>
    <w:bookmarkEnd w:id="30"/>
    <w:bookmarkStart w:id="37" w:name="emission-calculations-co2e"/>
    <w:p>
      <w:pPr>
        <w:pStyle w:val="Heading1"/>
      </w:pPr>
      <w:r>
        <w:t xml:space="preserve">3. Emission Calculations (CO2e)</w:t>
      </w:r>
    </w:p>
    <w:p>
      <w:pPr>
        <w:pStyle w:val="FirstParagraph"/>
      </w:pPr>
      <w:r>
        <w:t xml:space="preserve">Emissions are calculated for each life cycle stage using the formula: Activity Data × Emission Factor = CO2e. Emissions are categorized according to the GHG Protocol Scopes.</w:t>
      </w:r>
    </w:p>
    <w:bookmarkStart w:id="31" w:name="scope-1-emissions-direct-emissions"/>
    <w:p>
      <w:pPr>
        <w:pStyle w:val="Heading2"/>
      </w:pPr>
      <w:r>
        <w:t xml:space="preserve">3.1. Scope 1 Emissions (Direct Emissions)</w:t>
      </w:r>
    </w:p>
    <w:p>
      <w:pPr>
        <w:pStyle w:val="FirstParagraph"/>
      </w:pPr>
      <w:r>
        <w:t xml:space="preserve">For this product-level PCF, direct (Scope 1) emissions are generally minimal or covered within upstream/downstream activities if operations are outsourced. No significant Scope 1 emissions directly attributable to the final assembly of this single functional unit by niehdfjhqg are identified based on the provided parameters (e.g., no on-site fuel combustion for product manufacturing or company-owned vehicle use specifically for this product unit\'s transport). If niehdfjhqg operated its own fleet or had direct process emissions from fuel combustion for manufacturing ioykdmsnji, these would be included here.</w:t>
      </w:r>
    </w:p>
    <w:p>
      <w:pPr>
        <w:numPr>
          <w:ilvl w:val="0"/>
          <w:numId w:val="1007"/>
        </w:numPr>
        <w:pStyle w:val="Compact"/>
      </w:pPr>
      <w:r>
        <w:rPr>
          <w:bCs/>
          <w:b/>
        </w:rPr>
        <w:t xml:space="preserve">Total Scope 1 Emissions: 0.00 kg CO2e</w:t>
      </w:r>
    </w:p>
    <w:bookmarkEnd w:id="31"/>
    <w:bookmarkStart w:id="32" w:name="scope-2-emissions-purchased-energy"/>
    <w:p>
      <w:pPr>
        <w:pStyle w:val="Heading2"/>
      </w:pPr>
      <w:r>
        <w:t xml:space="preserve">3.2. Scope 2 Emissions (Purchased Energy)</w:t>
      </w:r>
    </w:p>
    <w:p>
      <w:pPr>
        <w:pStyle w:val="FirstParagraph"/>
      </w:pPr>
      <w:r>
        <w:t xml:space="preserve">These emissions result from the generation of purchased electricity, heat, or steam consumed by niehdfjhqg for manufacturing ioykdmsnji.</w:t>
      </w:r>
    </w:p>
    <w:p>
      <w:pPr>
        <w:numPr>
          <w:ilvl w:val="0"/>
          <w:numId w:val="1008"/>
        </w:numPr>
        <w:pStyle w:val="Compact"/>
      </w:pPr>
      <w:r>
        <w:t xml:space="preserve">Total Energy Intensity: 5 kWh/unit</w:t>
      </w:r>
    </w:p>
    <w:p>
      <w:pPr>
        <w:numPr>
          <w:ilvl w:val="0"/>
          <w:numId w:val="1008"/>
        </w:numPr>
        <w:pStyle w:val="Compact"/>
      </w:pPr>
      <w:r>
        <w:t xml:space="preserve">Renewable Energy Usage: 60%</w:t>
      </w:r>
    </w:p>
    <w:p>
      <w:pPr>
        <w:numPr>
          <w:ilvl w:val="0"/>
          <w:numId w:val="1008"/>
        </w:numPr>
        <w:pStyle w:val="Compact"/>
      </w:pPr>
      <w:r>
        <w:t xml:space="preserve">Non-renewable electricity consumed: 5 kWh * (1 - 0.60) = 2 kWh</w:t>
      </w:r>
    </w:p>
    <w:p>
      <w:pPr>
        <w:numPr>
          <w:ilvl w:val="0"/>
          <w:numId w:val="1008"/>
        </w:numPr>
        <w:pStyle w:val="Compact"/>
      </w:pPr>
      <w:r>
        <w:t xml:space="preserve">Emissions from non-renewable electricity: 2 kWh * 0.7 kg CO2e/kWh (China grid) = 1.40 kg CO2e</w:t>
      </w:r>
    </w:p>
    <w:p>
      <w:pPr>
        <w:numPr>
          <w:ilvl w:val="0"/>
          <w:numId w:val="1008"/>
        </w:numPr>
        <w:pStyle w:val="Compact"/>
      </w:pPr>
      <w:r>
        <w:rPr>
          <w:bCs/>
          <w:b/>
        </w:rPr>
        <w:t xml:space="preserve">Total Scope 2 Emissions: 1.40 kg CO2e</w:t>
      </w:r>
    </w:p>
    <w:bookmarkEnd w:id="32"/>
    <w:bookmarkStart w:id="35" w:name="scope-3-emissions-value-chain-emissions"/>
    <w:p>
      <w:pPr>
        <w:pStyle w:val="Heading2"/>
      </w:pPr>
      <w:r>
        <w:t xml:space="preserve">3.3. Scope 3 Emissions (Value Chain Emissions)</w:t>
      </w:r>
    </w:p>
    <w:p>
      <w:pPr>
        <w:pStyle w:val="FirstParagraph"/>
      </w:pPr>
      <w:r>
        <w:t xml:space="preserve">Scope 3 emissions encompass all other indirect emissions from niehdfjhqg\'s value chain, both upstream and downstream, not included in Scope 1 or Scope 2. This category typically represents the largest portion of a product\'s footprint. As per 2026 requirements, this analysis aims for over 95% coverage of required Scope 3 emissions.</w:t>
      </w:r>
    </w:p>
    <w:bookmarkStart w:id="33" w:name="X64be3e4ab986abc4ef090609685d0aaa05d0ec7"/>
    <w:p>
      <w:pPr>
        <w:pStyle w:val="Heading3"/>
      </w:pPr>
      <w:r>
        <w:t xml:space="preserve">3.3.1. Upstream Emissions (e.g., Purchased Goods &amp; Services, Upstream Transportation)</w:t>
      </w:r>
    </w:p>
    <w:p>
      <w:pPr>
        <w:numPr>
          <w:ilvl w:val="0"/>
          <w:numId w:val="1009"/>
        </w:numPr>
        <w:pStyle w:val="Compact"/>
      </w:pPr>
      <w:r>
        <w:rPr>
          <w:bCs/>
          <w:b/>
        </w:rPr>
        <w:t xml:space="preserve">Materials (Category 1 - Purchased Goods and Services):</w:t>
      </w:r>
    </w:p>
    <w:p>
      <w:pPr>
        <w:numPr>
          <w:ilvl w:val="1"/>
          <w:numId w:val="1010"/>
        </w:numPr>
        <w:pStyle w:val="Compact"/>
      </w:pPr>
      <w:r>
        <w:t xml:space="preserve">Total from Detailed BOM: 5.95 kg CO2e</w:t>
      </w:r>
    </w:p>
    <w:p>
      <w:pPr>
        <w:numPr>
          <w:ilvl w:val="0"/>
          <w:numId w:val="1009"/>
        </w:numPr>
        <w:pStyle w:val="Compact"/>
      </w:pPr>
      <w:r>
        <w:rPr>
          <w:bCs/>
          <w:b/>
        </w:rPr>
        <w:t xml:space="preserve">Inbound Transport (Category 4 - Upstream Transportation and Distribution):</w:t>
      </w:r>
    </w:p>
    <w:p>
      <w:pPr>
        <w:numPr>
          <w:ilvl w:val="1"/>
          <w:numId w:val="1011"/>
        </w:numPr>
        <w:pStyle w:val="Compact"/>
      </w:pPr>
      <w:r>
        <w:t xml:space="preserve">Product Weight: 1.0 kg</w:t>
      </w:r>
    </w:p>
    <w:p>
      <w:pPr>
        <w:numPr>
          <w:ilvl w:val="1"/>
          <w:numId w:val="1011"/>
        </w:numPr>
        <w:pStyle w:val="Compact"/>
      </w:pPr>
      <w:r>
        <w:t xml:space="preserve">Distance: 2000 km (Europe to China)</w:t>
      </w:r>
    </w:p>
    <w:p>
      <w:pPr>
        <w:numPr>
          <w:ilvl w:val="1"/>
          <w:numId w:val="1011"/>
        </w:numPr>
        <w:pStyle w:val="Compact"/>
      </w:pPr>
      <w:r>
        <w:t xml:space="preserve">Emissions: 1.0 kg * (1 tonne / 1000 kg) * 2000 km * 0.1 kg CO2e/tonne-km = 0.20 kg CO2e</w:t>
      </w:r>
    </w:p>
    <w:p>
      <w:pPr>
        <w:numPr>
          <w:ilvl w:val="0"/>
          <w:numId w:val="1009"/>
        </w:numPr>
        <w:pStyle w:val="Compact"/>
      </w:pPr>
      <w:r>
        <w:rPr>
          <w:bCs/>
          <w:b/>
        </w:rPr>
        <w:t xml:space="preserve">Manufacturing Energy (Renewable Portion - Residual Emissions):</w:t>
      </w:r>
    </w:p>
    <w:p>
      <w:pPr>
        <w:numPr>
          <w:ilvl w:val="1"/>
          <w:numId w:val="1012"/>
        </w:numPr>
        <w:pStyle w:val="Compact"/>
      </w:pPr>
      <w:r>
        <w:t xml:space="preserve">Renewable electricity consumed: 5 kWh * 0.60 = 3 kWh</w:t>
      </w:r>
    </w:p>
    <w:p>
      <w:pPr>
        <w:numPr>
          <w:ilvl w:val="1"/>
          <w:numId w:val="1012"/>
        </w:numPr>
        <w:pStyle w:val="Compact"/>
      </w:pPr>
      <w:r>
        <w:t xml:space="preserve">Emissions (residual): 3 kWh * 0.01 kg CO2e/kWh = 0.03 kg CO2e (categorized here as indirect purchased energy beyond Scope 2 boundary for contractual instruments)</w:t>
      </w:r>
    </w:p>
    <w:p>
      <w:pPr>
        <w:numPr>
          <w:ilvl w:val="0"/>
          <w:numId w:val="1009"/>
        </w:numPr>
        <w:pStyle w:val="Compact"/>
      </w:pPr>
      <w:r>
        <w:rPr>
          <w:bCs/>
          <w:b/>
        </w:rPr>
        <w:t xml:space="preserve">Total Upstream Scope 3 Emissions: 5.95 + 0.20 + 0.03 = 6.18 kg CO2e</w:t>
      </w:r>
    </w:p>
    <w:bookmarkEnd w:id="33"/>
    <w:bookmarkStart w:id="34" w:name="X2b7818b758512bdd99f44e6f41de2d4b8345b85"/>
    <w:p>
      <w:pPr>
        <w:pStyle w:val="Heading3"/>
      </w:pPr>
      <w:r>
        <w:t xml:space="preserve">3.3.2. Downstream Emissions (e.g., Downstream Transportation, Use of Sold Products, End-of-Life Treatment)</w:t>
      </w:r>
    </w:p>
    <w:p>
      <w:pPr>
        <w:numPr>
          <w:ilvl w:val="0"/>
          <w:numId w:val="1013"/>
        </w:numPr>
        <w:pStyle w:val="Compact"/>
      </w:pPr>
      <w:r>
        <w:rPr>
          <w:bCs/>
          <w:b/>
        </w:rPr>
        <w:t xml:space="preserve">Outbound Transport (Category 4 - Downstream Transportation and Distribution):</w:t>
      </w:r>
    </w:p>
    <w:p>
      <w:pPr>
        <w:numPr>
          <w:ilvl w:val="1"/>
          <w:numId w:val="1014"/>
        </w:numPr>
        <w:pStyle w:val="Compact"/>
      </w:pPr>
      <w:r>
        <w:t xml:space="preserve">Product Weight: 1.0 kg</w:t>
      </w:r>
    </w:p>
    <w:p>
      <w:pPr>
        <w:numPr>
          <w:ilvl w:val="1"/>
          <w:numId w:val="1014"/>
        </w:numPr>
        <w:pStyle w:val="Compact"/>
      </w:pPr>
      <w:r>
        <w:t xml:space="preserve">Distance: 8000 km (China to Europe distribution)</w:t>
      </w:r>
    </w:p>
    <w:p>
      <w:pPr>
        <w:numPr>
          <w:ilvl w:val="1"/>
          <w:numId w:val="1014"/>
        </w:numPr>
        <w:pStyle w:val="Compact"/>
      </w:pPr>
      <w:r>
        <w:t xml:space="preserve">Emissions: 1.0 kg * (1 tonne / 1000 kg) * 8000 km * 0.1 kg CO2e/tonne-km = 0.80 kg CO2e</w:t>
      </w:r>
    </w:p>
    <w:p>
      <w:pPr>
        <w:numPr>
          <w:ilvl w:val="0"/>
          <w:numId w:val="1013"/>
        </w:numPr>
        <w:pStyle w:val="Compact"/>
      </w:pPr>
      <w:r>
        <w:rPr>
          <w:bCs/>
          <w:b/>
        </w:rPr>
        <w:t xml:space="preserve">Last-Mile Delivery (Category 4 - Downstream Transportation and Distribution):</w:t>
      </w:r>
    </w:p>
    <w:p>
      <w:pPr>
        <w:numPr>
          <w:ilvl w:val="1"/>
          <w:numId w:val="1015"/>
        </w:numPr>
        <w:pStyle w:val="Compact"/>
      </w:pPr>
      <w:r>
        <w:t xml:space="preserve">Product Weight: 1.0 kg</w:t>
      </w:r>
    </w:p>
    <w:p>
      <w:pPr>
        <w:numPr>
          <w:ilvl w:val="1"/>
          <w:numId w:val="1015"/>
        </w:numPr>
        <w:pStyle w:val="Compact"/>
      </w:pPr>
      <w:r>
        <w:t xml:space="preserve">Distance: 100 km (Local van delivery)</w:t>
      </w:r>
    </w:p>
    <w:p>
      <w:pPr>
        <w:numPr>
          <w:ilvl w:val="1"/>
          <w:numId w:val="1015"/>
        </w:numPr>
        <w:pStyle w:val="Compact"/>
      </w:pPr>
      <w:r>
        <w:t xml:space="preserve">Emissions: 1.0 kg * (1 tonne / 1000 kg) * 100 km * 0.2 kg CO2e/tonne-km = 0.02 kg CO2e</w:t>
      </w:r>
    </w:p>
    <w:p>
      <w:pPr>
        <w:numPr>
          <w:ilvl w:val="0"/>
          <w:numId w:val="1013"/>
        </w:numPr>
        <w:pStyle w:val="Compact"/>
      </w:pPr>
      <w:r>
        <w:rPr>
          <w:bCs/>
          <w:b/>
        </w:rPr>
        <w:t xml:space="preserve">Use Phase (Category 11 - Use of Sold Products):</w:t>
      </w:r>
    </w:p>
    <w:p>
      <w:pPr>
        <w:numPr>
          <w:ilvl w:val="1"/>
          <w:numId w:val="1016"/>
        </w:numPr>
        <w:pStyle w:val="Compact"/>
      </w:pPr>
      <w:r>
        <w:t xml:space="preserve">Lifespan: 5 years</w:t>
      </w:r>
    </w:p>
    <w:p>
      <w:pPr>
        <w:numPr>
          <w:ilvl w:val="1"/>
          <w:numId w:val="1016"/>
        </w:numPr>
        <w:pStyle w:val="Compact"/>
      </w:pPr>
      <w:r>
        <w:t xml:space="preserve">Energy Consumption: 10 kWh/year</w:t>
      </w:r>
    </w:p>
    <w:p>
      <w:pPr>
        <w:numPr>
          <w:ilvl w:val="1"/>
          <w:numId w:val="1016"/>
        </w:numPr>
        <w:pStyle w:val="Compact"/>
      </w:pPr>
      <w:r>
        <w:t xml:space="preserve">Total energy: 50 kWh over lifespan</w:t>
      </w:r>
    </w:p>
    <w:p>
      <w:pPr>
        <w:numPr>
          <w:ilvl w:val="1"/>
          <w:numId w:val="1016"/>
        </w:numPr>
        <w:pStyle w:val="Compact"/>
      </w:pPr>
      <w:r>
        <w:t xml:space="preserve">Emissions: 50 kWh * 0.3 kg CO2e/kWh (Europe grid) = 15.00 kg CO2e</w:t>
      </w:r>
    </w:p>
    <w:p>
      <w:pPr>
        <w:numPr>
          <w:ilvl w:val="0"/>
          <w:numId w:val="1013"/>
        </w:numPr>
        <w:pStyle w:val="Compact"/>
      </w:pPr>
      <w:r>
        <w:rPr>
          <w:bCs/>
          <w:b/>
        </w:rPr>
        <w:t xml:space="preserve">End-of-Life (Category 12 - End-of-Life Treatment of Sold Products):</w:t>
      </w:r>
    </w:p>
    <w:p>
      <w:pPr>
        <w:numPr>
          <w:ilvl w:val="1"/>
          <w:numId w:val="1017"/>
        </w:numPr>
        <w:pStyle w:val="Compact"/>
      </w:pPr>
      <w:r>
        <w:t xml:space="preserve">Product Weight: 1.0 kg</w:t>
      </w:r>
    </w:p>
    <w:p>
      <w:pPr>
        <w:numPr>
          <w:ilvl w:val="1"/>
          <w:numId w:val="1017"/>
        </w:numPr>
        <w:pStyle w:val="Compact"/>
      </w:pPr>
      <w:r>
        <w:t xml:space="preserve">Recyclability: 70%</w:t>
      </w:r>
    </w:p>
    <w:p>
      <w:pPr>
        <w:numPr>
          <w:ilvl w:val="1"/>
          <w:numId w:val="1017"/>
        </w:numPr>
        <w:pStyle w:val="Compact"/>
      </w:pPr>
      <w:r>
        <w:t xml:space="preserve">Non-recycled waste: 1.0 kg * (1 - 0.70) = 0.3 kg</w:t>
      </w:r>
    </w:p>
    <w:p>
      <w:pPr>
        <w:numPr>
          <w:ilvl w:val="1"/>
          <w:numId w:val="1017"/>
        </w:numPr>
        <w:pStyle w:val="Compact"/>
      </w:pPr>
      <w:r>
        <w:t xml:space="preserve">Emissions from non-recycled waste: 0.3 kg * 1.5 kg CO2e/kg = 0.45 kg CO2e</w:t>
      </w:r>
    </w:p>
    <w:p>
      <w:pPr>
        <w:numPr>
          <w:ilvl w:val="1"/>
          <w:numId w:val="1017"/>
        </w:numPr>
        <w:pStyle w:val="Compact"/>
      </w:pPr>
      <w:r>
        <w:t xml:space="preserve">Circular/Take-back Programs: Active programs (vgegnureid) are assumed to optimize material recovery and minimize landfill/incineration for the recyclable portion, reducing the net burden.</w:t>
      </w:r>
    </w:p>
    <w:p>
      <w:pPr>
        <w:numPr>
          <w:ilvl w:val="0"/>
          <w:numId w:val="1013"/>
        </w:numPr>
        <w:pStyle w:val="Compact"/>
      </w:pPr>
      <w:r>
        <w:rPr>
          <w:bCs/>
          <w:b/>
        </w:rPr>
        <w:t xml:space="preserve">Total Downstream Scope 3 Emissions: 0.80 + 0.02 + 15.00 + 0.45 = 16.27 kg CO2e</w:t>
      </w:r>
    </w:p>
    <w:bookmarkEnd w:id="34"/>
    <w:bookmarkEnd w:id="35"/>
    <w:bookmarkStart w:id="36" w:name="total-product-carbon-footprint-pcf"/>
    <w:p>
      <w:pPr>
        <w:pStyle w:val="Heading2"/>
      </w:pPr>
      <w:r>
        <w:t xml:space="preserve">3.4. Total Product Carbon Footprint (PCF)</w:t>
      </w:r>
    </w:p>
    <w:p>
      <w:pPr>
        <w:pStyle w:val="FirstParagraph"/>
      </w:pPr>
      <w:r>
        <w:t xml:space="preserve">The sum of all categorized emissions results in the total PCF for one functional unit of ioykdmsnji.</w:t>
      </w:r>
    </w:p>
    <w:p>
      <w:pPr>
        <w:numPr>
          <w:ilvl w:val="0"/>
          <w:numId w:val="1018"/>
        </w:numPr>
        <w:pStyle w:val="Compact"/>
      </w:pPr>
      <w:r>
        <w:t xml:space="preserve">Total Scope 1 Emissions: 0.00 kg CO2e</w:t>
      </w:r>
    </w:p>
    <w:p>
      <w:pPr>
        <w:numPr>
          <w:ilvl w:val="0"/>
          <w:numId w:val="1018"/>
        </w:numPr>
        <w:pStyle w:val="Compact"/>
      </w:pPr>
      <w:r>
        <w:t xml:space="preserve">Total Scope 2 Emissions: 1.40 kg CO2e</w:t>
      </w:r>
    </w:p>
    <w:p>
      <w:pPr>
        <w:numPr>
          <w:ilvl w:val="0"/>
          <w:numId w:val="1018"/>
        </w:numPr>
        <w:pStyle w:val="Compact"/>
      </w:pPr>
      <w:r>
        <w:t xml:space="preserve">Total Scope 3 Emissions: 6.18 kg CO2e (Upstream) + 16.27 kg CO2e (Downstream) = 22.45 kg CO2e</w:t>
      </w:r>
    </w:p>
    <w:p>
      <w:pPr>
        <w:numPr>
          <w:ilvl w:val="0"/>
          <w:numId w:val="1018"/>
        </w:numPr>
        <w:pStyle w:val="Compact"/>
      </w:pPr>
      <w:r>
        <w:rPr>
          <w:bCs/>
          <w:b/>
        </w:rPr>
        <w:t xml:space="preserve">Overall Total PCF (1.0 unit of ioykdmsnji): 0.00 + 1.40 + 22.45 = 23.85 kg CO2e</w:t>
      </w:r>
    </w:p>
    <w:p>
      <w:pPr>
        <w:pStyle w:val="TableCaption"/>
      </w:pPr>
      <w:r>
        <w:t xml:space="preserve">Summary of Product Carbon Footprint by Scope (kg CO2e)</w:t>
      </w:r>
    </w:p>
    <w:tbl>
      <w:tblPr>
        <w:tblStyle w:val="Table"/>
        <w:tblW w:type="auto" w:w="0"/>
        <w:tblLook w:firstRow="1" w:lastRow="0" w:firstColumn="0" w:lastColumn="0" w:noHBand="0" w:noVBand="0" w:val="0020"/>
        <w:jc w:val="start"/>
        <w:tblCaption w:val="Summary of Product Carbon Footprint by Scope (kg CO2e)"/>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1.40</w:t>
            </w:r>
          </w:p>
        </w:tc>
        <w:tc>
          <w:tcPr/>
          <w:p>
            <w:pPr>
              <w:pStyle w:val="Compact"/>
              <w:jc w:val="left"/>
            </w:pPr>
            <w:r>
              <w:t xml:space="preserve">5.87%</w:t>
            </w:r>
          </w:p>
        </w:tc>
      </w:tr>
      <w:tr>
        <w:tc>
          <w:tcPr/>
          <w:p>
            <w:pPr>
              <w:pStyle w:val="Compact"/>
              <w:jc w:val="left"/>
            </w:pPr>
            <w:r>
              <w:t xml:space="preserve">Scope 3 (Value Chain)</w:t>
            </w:r>
          </w:p>
        </w:tc>
        <w:tc>
          <w:tcPr/>
          <w:p>
            <w:pPr>
              <w:pStyle w:val="Compact"/>
              <w:jc w:val="left"/>
            </w:pPr>
            <w:r>
              <w:t xml:space="preserve">22.45</w:t>
            </w:r>
          </w:p>
        </w:tc>
        <w:tc>
          <w:tcPr/>
          <w:p>
            <w:pPr>
              <w:pStyle w:val="Compact"/>
              <w:jc w:val="left"/>
            </w:pPr>
            <w:r>
              <w:t xml:space="preserve">94.13%</w:t>
            </w:r>
          </w:p>
        </w:tc>
      </w:tr>
      <w:tr>
        <w:tc>
          <w:tcPr/>
          <w:p>
            <w:pPr>
              <w:pStyle w:val="Compact"/>
              <w:jc w:val="left"/>
            </w:pPr>
            <w:r>
              <w:t xml:space="preserve">Total PCF</w:t>
            </w:r>
          </w:p>
        </w:tc>
        <w:tc>
          <w:tcPr/>
          <w:p>
            <w:pPr>
              <w:pStyle w:val="Compact"/>
              <w:jc w:val="left"/>
            </w:pPr>
            <w:r>
              <w:rPr>
                <w:bCs/>
                <w:b/>
              </w:rPr>
              <w:t xml:space="preserve">23.85</w:t>
            </w:r>
          </w:p>
        </w:tc>
        <w:tc>
          <w:tcPr/>
          <w:p>
            <w:pPr>
              <w:pStyle w:val="Compact"/>
              <w:jc w:val="left"/>
            </w:pPr>
            <w:r>
              <w:rPr>
                <w:bCs/>
                <w:b/>
              </w:rPr>
              <w:t xml:space="preserve">100.00%</w:t>
            </w:r>
          </w:p>
        </w:tc>
      </w:tr>
    </w:tbl>
    <w:p>
      <w:r>
        <w:pict>
          <v:rect style="width:0;height:1.5pt" o:hralign="center" o:hrstd="t" o:hr="t"/>
        </w:pict>
      </w:r>
    </w:p>
    <w:bookmarkEnd w:id="36"/>
    <w:bookmarkEnd w:id="37"/>
    <w:bookmarkStart w:id="41" w:name="review-report"/>
    <w:p>
      <w:pPr>
        <w:pStyle w:val="Heading1"/>
      </w:pPr>
      <w:r>
        <w:t xml:space="preserve">4. Review &amp; Report</w:t>
      </w:r>
    </w:p>
    <w:bookmarkStart w:id="38" w:name="emission-hotspots"/>
    <w:p>
      <w:pPr>
        <w:pStyle w:val="Heading2"/>
      </w:pPr>
      <w:r>
        <w:t xml:space="preserve">4.1. Emission Hotspots</w:t>
      </w:r>
    </w:p>
    <w:p>
      <w:pPr>
        <w:pStyle w:val="FirstParagraph"/>
      </w:pPr>
      <w:r>
        <w:t xml:space="preserve">Based on the detailed analysis, the primary emission hotspots for ioykdmsnji are:</w:t>
      </w:r>
    </w:p>
    <w:p>
      <w:pPr>
        <w:numPr>
          <w:ilvl w:val="0"/>
          <w:numId w:val="1019"/>
        </w:numPr>
        <w:pStyle w:val="Compact"/>
      </w:pPr>
      <w:r>
        <w:rPr>
          <w:bCs/>
          <w:b/>
        </w:rPr>
        <w:t xml:space="preserve">Use Phase (63.0% of total PCF):</w:t>
      </w:r>
      <w:r>
        <w:t xml:space="preserve"> </w:t>
      </w:r>
      <w:r>
        <w:t xml:space="preserve">The energy consumption during the product\'s lifespan (qnhrtrkwlp: 10 kWh/year over kluhhqmnzl: 5 years) is the dominant contributor to the overall carbon footprint. This aligns with common findings for electronic or energy-consuming products.</w:t>
      </w:r>
    </w:p>
    <w:p>
      <w:pPr>
        <w:numPr>
          <w:ilvl w:val="0"/>
          <w:numId w:val="1019"/>
        </w:numPr>
        <w:pStyle w:val="Compact"/>
      </w:pPr>
      <w:r>
        <w:rPr>
          <w:bCs/>
          <w:b/>
        </w:rPr>
        <w:t xml:space="preserve">Raw Materials (24.9% of total PCF):</w:t>
      </w:r>
      <w:r>
        <w:t xml:space="preserve"> </w:t>
      </w:r>
      <w:r>
        <w:t xml:space="preserve">The extraction and processing of materials, particularly plastics, aluminum, and electronic components, represent the second largest hotspot.</w:t>
      </w:r>
    </w:p>
    <w:p>
      <w:pPr>
        <w:numPr>
          <w:ilvl w:val="0"/>
          <w:numId w:val="1019"/>
        </w:numPr>
        <w:pStyle w:val="Compact"/>
      </w:pPr>
      <w:r>
        <w:rPr>
          <w:bCs/>
          <w:b/>
        </w:rPr>
        <w:t xml:space="preserve">Transport (4.3% of total PCF):</w:t>
      </w:r>
      <w:r>
        <w:t xml:space="preserve"> </w:t>
      </w:r>
      <w:r>
        <w:t xml:space="preserve">Both inbound and outbound logistics contribute, with long-distance shipping from China to Europe being a notable factor.</w:t>
      </w:r>
    </w:p>
    <w:p>
      <w:pPr>
        <w:numPr>
          <w:ilvl w:val="0"/>
          <w:numId w:val="1019"/>
        </w:numPr>
        <w:pStyle w:val="Compact"/>
      </w:pPr>
      <w:r>
        <w:rPr>
          <w:bCs/>
          <w:b/>
        </w:rPr>
        <w:t xml:space="preserve">Manufacturing Energy (6.0% of total PCF):</w:t>
      </w:r>
      <w:r>
        <w:t xml:space="preserve"> </w:t>
      </w:r>
      <w:r>
        <w:t xml:space="preserve">Despite a high renewable energy usage (kjxvwlfzkp: 60%), the remaining reliance on grid electricity contributes a notable portion.</w:t>
      </w:r>
    </w:p>
    <w:bookmarkEnd w:id="38"/>
    <w:bookmarkStart w:id="39" w:name="reliability-and-limitations"/>
    <w:p>
      <w:pPr>
        <w:pStyle w:val="Heading2"/>
      </w:pPr>
      <w:r>
        <w:t xml:space="preserve">4.2. Reliability and Limitations</w:t>
      </w:r>
    </w:p>
    <w:p>
      <w:pPr>
        <w:pStyle w:val="FirstParagraph"/>
      </w:pPr>
      <w:r>
        <w:t xml:space="preserve">This report provides a robust estimation of the PCF for ioykdmsnji, adhering to GHG Protocol standards. However, certain limitations apply:</w:t>
      </w:r>
    </w:p>
    <w:p>
      <w:pPr>
        <w:numPr>
          <w:ilvl w:val="0"/>
          <w:numId w:val="1020"/>
        </w:numPr>
        <w:pStyle w:val="Compact"/>
      </w:pPr>
      <w:r>
        <w:rPr>
          <w:bCs/>
          <w:b/>
        </w:rPr>
        <w:t xml:space="preserve">Data Specificity:</w:t>
      </w:r>
      <w:r>
        <w:t xml:space="preserve"> </w:t>
      </w:r>
      <w:r>
        <w:t xml:space="preserve">While the Detailed BOM (mdfezeii) offers high accuracy for materials, some transport and energy data rely on generic industry-average emission factors due to the nature of secondary data. Primary data from specific suppliers for all components and logistics could further enhance accuracy.</w:t>
      </w:r>
    </w:p>
    <w:p>
      <w:pPr>
        <w:numPr>
          <w:ilvl w:val="0"/>
          <w:numId w:val="1020"/>
        </w:numPr>
        <w:pStyle w:val="Compact"/>
      </w:pPr>
      <w:r>
        <w:rPr>
          <w:bCs/>
          <w:b/>
        </w:rPr>
        <w:t xml:space="preserve">Dynamic Factors:</w:t>
      </w:r>
      <w:r>
        <w:t xml:space="preserve"> </w:t>
      </w:r>
      <w:r>
        <w:t xml:space="preserve">Emission factors, especially for electricity grids, can vary over time. The calculations use current best-available generic factors.</w:t>
      </w:r>
    </w:p>
    <w:p>
      <w:pPr>
        <w:numPr>
          <w:ilvl w:val="0"/>
          <w:numId w:val="1020"/>
        </w:numPr>
        <w:pStyle w:val="Compact"/>
      </w:pPr>
      <w:r>
        <w:rPr>
          <w:bCs/>
          <w:b/>
        </w:rPr>
        <w:t xml:space="preserve">Product Lifespan Assumptions:</w:t>
      </w:r>
      <w:r>
        <w:t xml:space="preserve"> </w:t>
      </w:r>
      <w:r>
        <w:t xml:space="preserve">The Use Phase calculation is based on an assumed product lifespan (kluhhqmnzl) and user energy consumption (qnhrtrkwlp), which may vary in real-world usage.</w:t>
      </w:r>
    </w:p>
    <w:p>
      <w:pPr>
        <w:numPr>
          <w:ilvl w:val="0"/>
          <w:numId w:val="1020"/>
        </w:numPr>
        <w:pStyle w:val="Compact"/>
      </w:pPr>
      <w:r>
        <w:rPr>
          <w:bCs/>
          <w:b/>
        </w:rPr>
        <w:t xml:space="preserve">EoL Complexities:</w:t>
      </w:r>
      <w:r>
        <w:t xml:space="preserve"> </w:t>
      </w:r>
      <w:r>
        <w:t xml:space="preserve">Actual recycling rates (mhihurfreh) and the efficacy of circular programs (vgegnureid) can fluctuate based on regional infrastructure and consumer behavior.</w:t>
      </w:r>
    </w:p>
    <w:bookmarkEnd w:id="39"/>
    <w:bookmarkStart w:id="40" w:name="recommendations-for-reduction"/>
    <w:p>
      <w:pPr>
        <w:pStyle w:val="Heading2"/>
      </w:pPr>
      <w:r>
        <w:t xml:space="preserve">4.3. Recommendations for Reduction</w:t>
      </w:r>
    </w:p>
    <w:p>
      <w:pPr>
        <w:pStyle w:val="FirstParagraph"/>
      </w:pPr>
      <w:r>
        <w:t xml:space="preserve">To significantly reduce the PCF of ioykdmsnji, niehdfjhqg should focus on the following areas:</w:t>
      </w:r>
    </w:p>
    <w:p>
      <w:pPr>
        <w:numPr>
          <w:ilvl w:val="0"/>
          <w:numId w:val="1021"/>
        </w:numPr>
        <w:pStyle w:val="Compact"/>
      </w:pPr>
      <w:r>
        <w:rPr>
          <w:bCs/>
          <w:b/>
        </w:rPr>
        <w:t xml:space="preserve">Optimize Use Phase:</w:t>
      </w:r>
      <w:r>
        <w:t xml:space="preserve"> </w:t>
      </w:r>
      <w:r>
        <w:t xml:space="preserve">Invest in R&amp;D for enhanced energy efficiency of ioykdmsnji during its operational life. Educate end-users on energy-saving practices and extend product lifespan through durable design and repairability.</w:t>
      </w:r>
    </w:p>
    <w:p>
      <w:pPr>
        <w:numPr>
          <w:ilvl w:val="0"/>
          <w:numId w:val="1021"/>
        </w:numPr>
        <w:pStyle w:val="Compact"/>
      </w:pPr>
      <w:r>
        <w:rPr>
          <w:bCs/>
          <w:b/>
        </w:rPr>
        <w:t xml:space="preserve">Sustainable Material Sourcing:</w:t>
      </w:r>
      <w:r>
        <w:t xml:space="preserve"> </w:t>
      </w:r>
      <w:r>
        <w:t xml:space="preserve">Collaborate with suppliers to identify lower-carbon alternative materials, increase recycled content, and explore bio-based options for plastics. This directly addresses the impact from mdfezeii.</w:t>
      </w:r>
    </w:p>
    <w:p>
      <w:pPr>
        <w:numPr>
          <w:ilvl w:val="0"/>
          <w:numId w:val="1021"/>
        </w:numPr>
        <w:pStyle w:val="Compact"/>
      </w:pPr>
      <w:r>
        <w:rPr>
          <w:bCs/>
          <w:b/>
        </w:rPr>
        <w:t xml:space="preserve">Decarbonize Logistics:</w:t>
      </w:r>
      <w:r>
        <w:t xml:space="preserve"> </w:t>
      </w:r>
      <w:r>
        <w:t xml:space="preserve">Explore more efficient transport modes, optimize routes, and engage with logistics providers committed to low-carbon fuels or electric fleets, particularly for long-haul routes (vfluqvkmpv) and last-mile delivery (Delivery Type).</w:t>
      </w:r>
    </w:p>
    <w:p>
      <w:pPr>
        <w:numPr>
          <w:ilvl w:val="0"/>
          <w:numId w:val="1021"/>
        </w:numPr>
        <w:pStyle w:val="Compact"/>
      </w:pPr>
      <w:r>
        <w:rPr>
          <w:bCs/>
          <w:b/>
        </w:rPr>
        <w:t xml:space="preserve">Increase Renewable Energy:</w:t>
      </w:r>
      <w:r>
        <w:t xml:space="preserve"> </w:t>
      </w:r>
      <w:r>
        <w:t xml:space="preserve">Further increase the share of renewable energy (kjxvwlfzkp) in manufacturing operations and incentivize suppliers to do the same.</w:t>
      </w:r>
    </w:p>
    <w:p>
      <w:pPr>
        <w:numPr>
          <w:ilvl w:val="0"/>
          <w:numId w:val="1021"/>
        </w:numPr>
        <w:pStyle w:val="Compact"/>
      </w:pPr>
      <w:r>
        <w:rPr>
          <w:bCs/>
          <w:b/>
        </w:rPr>
        <w:t xml:space="preserve">Strengthen Circularity:</w:t>
      </w:r>
      <w:r>
        <w:t xml:space="preserve"> </w:t>
      </w:r>
      <w:r>
        <w:t xml:space="preserve">Expand and promote circular economy initiatives and take-back programs (vgegnureid) to maximize the recycling (mhihurfreh) and reuse of components, further reducing end-of-life impacts.</w:t>
      </w:r>
    </w:p>
    <w:p>
      <w:r>
        <w:pict>
          <v:rect style="width:0;height:1.5pt" o:hralign="center" o:hrstd="t" o:hr="t"/>
        </w:pict>
      </w:r>
    </w:p>
    <w:p>
      <w:pPr>
        <w:pStyle w:val="FirstParagraph"/>
      </w:pPr>
      <w:r>
        <w:t xml:space="preserve">Confidential - Internal Use Only | This report was generated by ggvxjmugfo for niehdfjhqg.</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ioykdmsnji</dc:title>
  <dc:creator/>
  <dc:description>Detailed Product Carbon Footprint (PCF) analysis report for ioykdmsnji by niehdfjhqg, following GHG Protocol standards, including material, energy, transport, use phase, and end-of-life impacts.</dc:description>
  <dc:language>en</dc:language>
  <cp:keywords/>
  <dcterms:created xsi:type="dcterms:W3CDTF">2026-07-15T00:26:54Z</dcterms:created>
  <dcterms:modified xsi:type="dcterms:W3CDTF">2026-07-15T00:26:54Z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