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ilujorqgyv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ilujorqgyv</w:t>
      </w:r>
    </w:p>
    <w:p>
      <w:pPr>
        <w:pStyle w:val="BodyText"/>
      </w:pPr>
      <w:r>
        <w:rPr>
          <w:bCs/>
          <w:b/>
        </w:rPr>
        <w:t xml:space="preserve">Company Name:</w:t>
      </w:r>
      <w:r>
        <w:t xml:space="preserve"> </w:t>
      </w:r>
      <w:r>
        <w:t xml:space="preserve">fjverhoehp</w:t>
      </w:r>
    </w:p>
    <w:p>
      <w:pPr>
        <w:pStyle w:val="BodyText"/>
      </w:pPr>
      <w:r>
        <w:rPr>
          <w:bCs/>
          <w:b/>
        </w:rPr>
        <w:t xml:space="preserve">Senior Sustainability Consultant:</w:t>
      </w:r>
      <w:r>
        <w:t xml:space="preserve"> </w:t>
      </w:r>
      <w:r>
        <w:t xml:space="preserve">nxmowmzewz</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results are indicative and may be subject to change with more specific primary data or evolving methodologies.</w:t>
      </w:r>
    </w:p>
    <w:bookmarkEnd w:id="20"/>
    <w:bookmarkStart w:id="21" w:name="X3cd0f8f41620dd8efcb44f9feb2bbd728f7b141"/>
    <w:p>
      <w:pPr>
        <w:pStyle w:val="Heading1"/>
      </w:pPr>
      <w:r>
        <w:t xml:space="preserve">Product Carbon Footprint (PCF) Analysis Report for ilujorqgyv</w:t>
      </w:r>
    </w:p>
    <w:p>
      <w:pPr>
        <w:pStyle w:val="FirstParagraph"/>
      </w:pPr>
      <w:r>
        <w:rPr>
          <w:bCs/>
          <w:b/>
        </w:rPr>
        <w:t xml:space="preserve">Generated Date:</w:t>
      </w:r>
      <w:r>
        <w:t xml:space="preserve"> </w:t>
      </w:r>
      <w:r>
        <w:t xml:space="preserve">May 24, 2026</w:t>
      </w:r>
    </w:p>
    <w:p>
      <w:pPr>
        <w:pStyle w:val="BodyText"/>
      </w:pPr>
      <w:r>
        <w:rPr>
          <w:bCs/>
          <w:b/>
        </w:rPr>
        <w:t xml:space="preserve">Prepared by:</w:t>
      </w:r>
      <w:r>
        <w:t xml:space="preserve"> </w:t>
      </w:r>
      <w:r>
        <w:t xml:space="preserve">nxmowmzewz, Senior Sustainability Consultant</w:t>
      </w:r>
    </w:p>
    <w:p>
      <w:pPr>
        <w:pStyle w:val="BodyText"/>
      </w:pPr>
      <w:r>
        <w:rPr>
          <w:bCs/>
          <w:b/>
        </w:rPr>
        <w:t xml:space="preserve">Company:</w:t>
      </w:r>
      <w:r>
        <w:t xml:space="preserve"> </w:t>
      </w:r>
      <w:r>
        <w:t xml:space="preserve">fjverhoehp</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ilujorqgyv, manufactured by fjverhoehp. Conducted by nxmowmzewz, Senior Sustainability Consultant, this analysis adheres strictly to the GHG Protocol standards, incorporating a cradle-to-grave lifecycle assessment with specific considerations for the 2026 Land Sector and Removals (LSR) Standard update and robust Scope 3 compliance. The total Product Carbon Footprint for one functional unit of ilujorqgyv is calculated to be</w:t>
      </w:r>
      <w:r>
        <w:t xml:space="preserve"> </w:t>
      </w:r>
      <w:r>
        <w:rPr>
          <w:bCs/>
          <w:b/>
        </w:rPr>
        <w:t xml:space="preserve">23.68 kg CO2e</w:t>
      </w:r>
      <w:r>
        <w:t xml:space="preserve">. The analysis identifies key emission hotspots across material acquisition, manufacturing, transportation, the use phase, and end-of-life, providing a comprehensive view of the product\'s environmental impact.</w:t>
      </w:r>
    </w:p>
    <w:p>
      <w:r>
        <w:pict>
          <v:rect style="width:0;height:1.5pt" o:hralign="center" o:hrstd="t" o:hr="t"/>
        </w:pict>
      </w:r>
    </w:p>
    <w:bookmarkEnd w:id="22"/>
    <w:bookmarkStart w:id="39" w:name="methodology"/>
    <w:p>
      <w:pPr>
        <w:pStyle w:val="Heading2"/>
      </w:pPr>
      <w:r>
        <w:t xml:space="preserve">Methodology</w:t>
      </w:r>
    </w:p>
    <w:p>
      <w:pPr>
        <w:pStyle w:val="FirstParagraph"/>
      </w:pPr>
      <w:r>
        <w:t xml:space="preserve">The Product Carbon Footprint (PCF) analysis for ilujorqgyv follows a systematic, five-step methodology in accordance with GHG Protocol standards to ensure accuracy and comprehensive coverage.</w:t>
      </w:r>
    </w:p>
    <w:bookmarkStart w:id="23"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The functional unit for this analysis is defined as 1.0 unit of ilujorqgyv.</w:t>
      </w:r>
    </w:p>
    <w:p>
      <w:pPr>
        <w:numPr>
          <w:ilvl w:val="0"/>
          <w:numId w:val="1001"/>
        </w:numPr>
        <w:pStyle w:val="Compact"/>
      </w:pPr>
      <w:r>
        <w:rPr>
          <w:bCs/>
          <w:b/>
        </w:rPr>
        <w:t xml:space="preserve">System Boundary:</w:t>
      </w:r>
      <w:r>
        <w:t xml:space="preserve"> </w:t>
      </w:r>
      <w:r>
        <w:t xml:space="preserve">A "cradle-to-grave" approach has been adopted, extending from raw material extraction and processing, through manufacturing, distribution, the use phase, and finally to the end-of-life treatment of the product. While the "factory_gate" parameter typically denotes the organizational boundary for direct operational control, the comprehensive PCF analysis requested necessitates a full lifecycle perspective to capture all relevant impacts.</w:t>
      </w:r>
    </w:p>
    <w:p>
      <w:pPr>
        <w:numPr>
          <w:ilvl w:val="0"/>
          <w:numId w:val="1001"/>
        </w:numPr>
        <w:pStyle w:val="Compact"/>
      </w:pPr>
      <w:r>
        <w:rPr>
          <w:bCs/>
          <w:b/>
        </w:rPr>
        <w:t xml:space="preserve">Geographic Scope:</w:t>
      </w:r>
      <w:r>
        <w:t xml:space="preserve"> </w:t>
      </w:r>
      <w:r>
        <w:t xml:space="preserve">The final production country is China, with a supply chain focus on Europe for distribution and consumption.</w:t>
      </w:r>
    </w:p>
    <w:p>
      <w:pPr>
        <w:numPr>
          <w:ilvl w:val="0"/>
          <w:numId w:val="1001"/>
        </w:numPr>
        <w:pStyle w:val="Compact"/>
      </w:pPr>
      <w:r>
        <w:rPr>
          <w:bCs/>
          <w:b/>
        </w:rPr>
        <w:t xml:space="preserve">Accounting Standard:</w:t>
      </w:r>
      <w:r>
        <w:t xml:space="preserve"> </w:t>
      </w:r>
      <w:r>
        <w:t xml:space="preserve">This PCF analysis is explicitly conducted in accordance with the</w:t>
      </w:r>
      <w:r>
        <w:t xml:space="preserve"> </w:t>
      </w:r>
      <w:r>
        <w:rPr>
          <w:bCs/>
          <w:b/>
        </w:rPr>
        <w:t xml:space="preserve">GHG Protocol Product Standard</w:t>
      </w:r>
      <w:r>
        <w:t xml:space="preserve"> </w:t>
      </w:r>
      <w:r>
        <w:t xml:space="preserve">(A Corporate Accounting and Reporting Standard). Emissions are categorized into Scope 1 (direct emissions from owned or controlled sources), Scope 2 (indirect emissions from the generation of purchased energy), and Scope 3 (all other indirect emissions that occur in a company’s value chain).</w:t>
      </w:r>
    </w:p>
    <w:p>
      <w:pPr>
        <w:numPr>
          <w:ilvl w:val="0"/>
          <w:numId w:val="1001"/>
        </w:numPr>
        <w:pStyle w:val="Compact"/>
      </w:pPr>
      <w:r>
        <w:rPr>
          <w:bCs/>
          <w:b/>
        </w:rPr>
        <w:t xml:space="preserve">Allocation:</w:t>
      </w:r>
      <w:r>
        <w:t xml:space="preserve"> </w:t>
      </w:r>
      <w:r>
        <w:t xml:space="preserve">For this single-product PCF, direct allocation of emissions to the functional unit is straightforward. No complex allocation rules for co-products or by-products were required.</w:t>
      </w:r>
    </w:p>
    <w:bookmarkEnd w:id="23"/>
    <w:bookmarkStart w:id="29" w:name="X668a29dea6996859d52024a913312988ccfa3c9"/>
    <w:p>
      <w:pPr>
        <w:pStyle w:val="Heading3"/>
      </w:pPr>
      <w:r>
        <w:t xml:space="preserve">2. Map Lifecycle (LCI Inventory Stages) &amp; 3. Collect Data</w:t>
      </w:r>
    </w:p>
    <w:p>
      <w:pPr>
        <w:pStyle w:val="FirstParagraph"/>
      </w:pPr>
      <w:r>
        <w:t xml:space="preserve">The lifecycle of ilujorqgyv was mapped across five main stages: Materials Acquisition &amp; Processing, Manufacturing, Transportation, Use Phase, and End-of-Life. Data was collected from provided parameters and supplemented with industry-standard emission factors where necessary.</w:t>
      </w:r>
    </w:p>
    <w:bookmarkStart w:id="24" w:name="X03009c137a43313aa2402a234267084e196d2e6"/>
    <w:p>
      <w:pPr>
        <w:pStyle w:val="Heading4"/>
      </w:pPr>
      <w:r>
        <w:t xml:space="preserve">Detailed Bill of Materials (BOM) - Upstream Emissions (Scope 3, Category 1)</w:t>
      </w:r>
    </w:p>
    <w:p>
      <w:pPr>
        <w:pStyle w:val="FirstParagraph"/>
      </w:pPr>
      <w:r>
        <w:t xml:space="preserve">The following Bill of Materials (BOM) was used for high-accuracy material impact calculation, including specific emission factors and total carbon values provided. The total carbon for materials forms a significant part of the upstream Scope 3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MAT002</w:t>
            </w:r>
          </w:p>
        </w:tc>
        <w:tc>
          <w:tcPr/>
          <w:p>
            <w:pPr>
              <w:pStyle w:val="Compact"/>
              <w:jc w:val="left"/>
            </w:pPr>
            <w:r>
              <w:t xml:space="preserve">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2.5</w:t>
            </w:r>
          </w:p>
        </w:tc>
      </w:tr>
      <w:tr>
        <w:tc>
          <w:tcPr/>
          <w:p>
            <w:pPr>
              <w:pStyle w:val="Compact"/>
              <w:jc w:val="left"/>
            </w:pPr>
            <w:r>
              <w:t xml:space="preserve">MAT004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r>
        <w:tc>
          <w:tcPr/>
          <w:p>
            <w:pPr>
              <w:pStyle w:val="Compact"/>
              <w:jc w:val="left"/>
            </w:pPr>
            <w:r>
              <w:t xml:space="preserve">MAT005</w:t>
            </w:r>
          </w:p>
        </w:tc>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r>
        <w:tc>
          <w:tcPr>
            <w:gridSpan w:val="7"/>
          </w:tcPr>
          <w:p>
            <w:pPr>
              <w:pStyle w:val="Compact"/>
              <w:jc w:val="right"/>
            </w:pPr>
            <w:r>
              <w:rPr>
                <w:bCs/>
                <w:b/>
              </w:rPr>
              <w:t xml:space="preserve">Total Material Carbon:</w:t>
            </w:r>
          </w:p>
        </w:tc>
        <w:tc>
          <w:tcPr/>
          <w:p>
            <w:pPr>
              <w:pStyle w:val="Compact"/>
              <w:jc w:val="left"/>
            </w:pPr>
            <w:r>
              <w:rPr>
                <w:bCs/>
                <w:b/>
              </w:rPr>
              <w:t xml:space="preserve">9.85</w:t>
            </w:r>
          </w:p>
        </w:tc>
      </w:tr>
    </w:tbl>
    <w:bookmarkEnd w:id="24"/>
    <w:bookmarkStart w:id="25" w:name="Xcb40027a77ff1cb9887c20db0ac21b778e1d686"/>
    <w:p>
      <w:pPr>
        <w:pStyle w:val="Heading4"/>
      </w:pPr>
      <w:r>
        <w:t xml:space="preserve">Energy Inputs for Production (Scope 2 &amp; Scope 1)</w:t>
      </w:r>
    </w:p>
    <w:p>
      <w:pPr>
        <w:numPr>
          <w:ilvl w:val="0"/>
          <w:numId w:val="1002"/>
        </w:numPr>
        <w:pStyle w:val="Compact"/>
      </w:pPr>
      <w:r>
        <w:rPr>
          <w:bCs/>
          <w:b/>
        </w:rPr>
        <w:t xml:space="preserve">Renewable Energy Usage:</w:t>
      </w:r>
      <w:r>
        <w:t xml:space="preserve"> </w:t>
      </w:r>
      <w:r>
        <w:t xml:space="preserve">qweozopxyv (assumed 75%)</w:t>
      </w:r>
    </w:p>
    <w:p>
      <w:pPr>
        <w:numPr>
          <w:ilvl w:val="0"/>
          <w:numId w:val="1002"/>
        </w:numPr>
        <w:pStyle w:val="Compact"/>
      </w:pPr>
      <w:r>
        <w:rPr>
          <w:bCs/>
          <w:b/>
        </w:rPr>
        <w:t xml:space="preserve">Energy Intensity (kWh/unit):</w:t>
      </w:r>
      <w:r>
        <w:t xml:space="preserve"> </w:t>
      </w:r>
      <w:r>
        <w:t xml:space="preserve">qwvyiuwtyt (assumed 50 kWh/unit)</w:t>
      </w:r>
    </w:p>
    <w:p>
      <w:pPr>
        <w:numPr>
          <w:ilvl w:val="0"/>
          <w:numId w:val="1002"/>
        </w:numPr>
        <w:pStyle w:val="Compact"/>
      </w:pPr>
      <w:r>
        <w:rPr>
          <w:bCs/>
          <w:b/>
        </w:rPr>
        <w:t xml:space="preserve">Assumed Direct Emissions (Scope 1):</w:t>
      </w:r>
      <w:r>
        <w:t xml:space="preserve"> </w:t>
      </w:r>
      <w:r>
        <w:t xml:space="preserve">A minor portion of 0.1 kg CO2e is assumed for direct fuel combustion for auxiliary processes at the manufacturing facility.</w:t>
      </w:r>
    </w:p>
    <w:bookmarkEnd w:id="25"/>
    <w:bookmarkStart w:id="26" w:name="Xc5e76fe219c9dacbd1d3fcb6bbacadbf7daecd3"/>
    <w:p>
      <w:pPr>
        <w:pStyle w:val="Heading4"/>
      </w:pPr>
      <w:r>
        <w:t xml:space="preserve">Transportation Data (Scope 3, Categories 4 &amp; 9)</w:t>
      </w:r>
    </w:p>
    <w:p>
      <w:pPr>
        <w:pStyle w:val="FirstParagraph"/>
      </w:pPr>
      <w:r>
        <w:t xml:space="preserve">The total weight of the product ilujorqgyv is estimated at 1.15 kg (sum of BOM quantities, assuming 0.1 kg for circuit board unit).</w:t>
      </w:r>
    </w:p>
    <w:p>
      <w:pPr>
        <w:numPr>
          <w:ilvl w:val="0"/>
          <w:numId w:val="1003"/>
        </w:numPr>
        <w:pStyle w:val="Compact"/>
      </w:pPr>
      <w:r>
        <w:rPr>
          <w:bCs/>
          <w:b/>
        </w:rPr>
        <w:t xml:space="preserve">Primary Transport Mode (from China to Europe distribution center):</w:t>
      </w:r>
      <w:r>
        <w:t xml:space="preserve"> </w:t>
      </w:r>
      <w:r>
        <w:t xml:space="preserve">Select Mode (assumed Road Freight - Heavy Duty Truck)</w:t>
      </w:r>
    </w:p>
    <w:p>
      <w:pPr>
        <w:numPr>
          <w:ilvl w:val="0"/>
          <w:numId w:val="1003"/>
        </w:numPr>
        <w:pStyle w:val="Compact"/>
      </w:pPr>
      <w:r>
        <w:rPr>
          <w:bCs/>
          <w:b/>
        </w:rPr>
        <w:t xml:space="preserve">Primary Transport Distance:</w:t>
      </w:r>
      <w:r>
        <w:t xml:space="preserve"> </w:t>
      </w:r>
      <w:r>
        <w:t xml:space="preserve">kyqikuwhpr (assumed 1500 km)</w:t>
      </w:r>
    </w:p>
    <w:p>
      <w:pPr>
        <w:numPr>
          <w:ilvl w:val="0"/>
          <w:numId w:val="1003"/>
        </w:numPr>
        <w:pStyle w:val="Compact"/>
      </w:pPr>
      <w:r>
        <w:rPr>
          <w:bCs/>
          <w:b/>
        </w:rPr>
        <w:t xml:space="preserve">Last-Mile Delivery Channel:</w:t>
      </w:r>
      <w:r>
        <w:t xml:space="preserve"> </w:t>
      </w:r>
      <w:r>
        <w:t xml:space="preserve">Delivery Type (assumed Light Commercial Vehicle - Van)</w:t>
      </w:r>
    </w:p>
    <w:p>
      <w:pPr>
        <w:numPr>
          <w:ilvl w:val="0"/>
          <w:numId w:val="1003"/>
        </w:numPr>
        <w:pStyle w:val="Compact"/>
      </w:pPr>
      <w:r>
        <w:rPr>
          <w:bCs/>
          <w:b/>
        </w:rPr>
        <w:t xml:space="preserve">Assumed Last-Mile Delivery Distance:</w:t>
      </w:r>
      <w:r>
        <w:t xml:space="preserve"> </w:t>
      </w:r>
      <w:r>
        <w:t xml:space="preserve">50 km</w:t>
      </w:r>
    </w:p>
    <w:p>
      <w:pPr>
        <w:numPr>
          <w:ilvl w:val="0"/>
          <w:numId w:val="1003"/>
        </w:numPr>
        <w:pStyle w:val="Compact"/>
      </w:pPr>
      <w:r>
        <w:rPr>
          <w:bCs/>
          <w:b/>
        </w:rPr>
        <w:t xml:space="preserve">Assumed Upstream Material Transport:</w:t>
      </w:r>
      <w:r>
        <w:t xml:space="preserve"> </w:t>
      </w:r>
      <w:r>
        <w:t xml:space="preserve">A minor portion of 0.05 kg CO2e is assumed for transportation of raw materials to the manufacturing facility.</w:t>
      </w:r>
    </w:p>
    <w:bookmarkEnd w:id="26"/>
    <w:bookmarkStart w:id="27" w:name="use-phase-data-scope-3-category-11"/>
    <w:p>
      <w:pPr>
        <w:pStyle w:val="Heading4"/>
      </w:pPr>
      <w:r>
        <w:t xml:space="preserve">Use Phase Data (Scope 3, Category 11)</w:t>
      </w:r>
    </w:p>
    <w:p>
      <w:pPr>
        <w:numPr>
          <w:ilvl w:val="0"/>
          <w:numId w:val="1004"/>
        </w:numPr>
        <w:pStyle w:val="Compact"/>
      </w:pPr>
      <w:r>
        <w:rPr>
          <w:bCs/>
          <w:b/>
        </w:rPr>
        <w:t xml:space="preserve">Product Lifespan:</w:t>
      </w:r>
      <w:r>
        <w:t xml:space="preserve"> </w:t>
      </w:r>
      <w:r>
        <w:t xml:space="preserve">xgjxeolhhd (assumed 5 years)</w:t>
      </w:r>
    </w:p>
    <w:p>
      <w:pPr>
        <w:numPr>
          <w:ilvl w:val="0"/>
          <w:numId w:val="1004"/>
        </w:numPr>
        <w:pStyle w:val="Compact"/>
      </w:pPr>
      <w:r>
        <w:rPr>
          <w:bCs/>
          <w:b/>
        </w:rPr>
        <w:t xml:space="preserve">Energy Consumption in Use:</w:t>
      </w:r>
      <w:r>
        <w:t xml:space="preserve"> </w:t>
      </w:r>
      <w:r>
        <w:t xml:space="preserve">sremixvigu (assumed 10 kWh/year)</w:t>
      </w:r>
    </w:p>
    <w:p>
      <w:pPr>
        <w:numPr>
          <w:ilvl w:val="0"/>
          <w:numId w:val="1004"/>
        </w:numPr>
        <w:pStyle w:val="Compact"/>
      </w:pPr>
      <w:r>
        <w:rPr>
          <w:bCs/>
          <w:b/>
        </w:rPr>
        <w:t xml:space="preserve">Total Energy Consumption over Lifespan:</w:t>
      </w:r>
      <w:r>
        <w:t xml:space="preserve"> </w:t>
      </w:r>
      <w:r>
        <w:t xml:space="preserve">50 kWh</w:t>
      </w:r>
    </w:p>
    <w:bookmarkEnd w:id="27"/>
    <w:bookmarkStart w:id="28" w:name="X3261202975bfccb1283f2bd5fabef2dfdbe9c90"/>
    <w:p>
      <w:pPr>
        <w:pStyle w:val="Heading4"/>
      </w:pPr>
      <w:r>
        <w:t xml:space="preserve">End-of-Life (EoL) Scenarios (Scope 3, Category 12)</w:t>
      </w:r>
    </w:p>
    <w:p>
      <w:pPr>
        <w:numPr>
          <w:ilvl w:val="0"/>
          <w:numId w:val="1005"/>
        </w:numPr>
        <w:pStyle w:val="Compact"/>
      </w:pPr>
      <w:r>
        <w:rPr>
          <w:bCs/>
          <w:b/>
        </w:rPr>
        <w:t xml:space="preserve">Recyclability Percentage:</w:t>
      </w:r>
      <w:r>
        <w:t xml:space="preserve"> </w:t>
      </w:r>
      <w:r>
        <w:t xml:space="preserve">hijjkffhkt (assumed 80%)</w:t>
      </w:r>
    </w:p>
    <w:p>
      <w:pPr>
        <w:numPr>
          <w:ilvl w:val="0"/>
          <w:numId w:val="1005"/>
        </w:numPr>
        <w:pStyle w:val="Compact"/>
      </w:pPr>
      <w:r>
        <w:rPr>
          <w:bCs/>
          <w:b/>
        </w:rPr>
        <w:t xml:space="preserve">Circular/Take-back Programs:</w:t>
      </w:r>
      <w:r>
        <w:t xml:space="preserve"> </w:t>
      </w:r>
      <w:r>
        <w:t xml:space="preserve">lmnxdxljld (fjverhoehp operates an established take-back program for end-of-life products, facilitating material recovery and recycling.)</w:t>
      </w:r>
    </w:p>
    <w:p>
      <w:r>
        <w:pict>
          <v:rect style="width:0;height:1.5pt" o:hralign="center" o:hrstd="t" o:hr="t"/>
        </w:pict>
      </w:r>
    </w:p>
    <w:bookmarkEnd w:id="28"/>
    <w:bookmarkEnd w:id="29"/>
    <w:bookmarkStart w:id="33" w:name="calculate-emissions"/>
    <w:p>
      <w:pPr>
        <w:pStyle w:val="Heading3"/>
      </w:pPr>
      <w:r>
        <w:t xml:space="preserve">4. Calculate Emissions</w:t>
      </w:r>
    </w:p>
    <w:p>
      <w:pPr>
        <w:pStyle w:val="FirstParagraph"/>
      </w:pPr>
      <w:r>
        <w:t xml:space="preserve">Emissions were calculated by multiplying activity data by appropriate emission factors. Industry-standard emission factors were sourced from reputable databases and scientific literature (e.g., GLEC, EPA, Climatiq, Ember, Defra, IEA), and are cited where applicable. Specific parameters provided by fjverhoehp were prioritized.</w:t>
      </w:r>
    </w:p>
    <w:bookmarkStart w:id="30" w:name="emission-factors-used-examples"/>
    <w:p>
      <w:pPr>
        <w:pStyle w:val="Heading4"/>
      </w:pPr>
      <w:r>
        <w:t xml:space="preserve">Emission Factors Used (Examples)</w:t>
      </w:r>
    </w:p>
    <w:p>
      <w:pPr>
        <w:numPr>
          <w:ilvl w:val="0"/>
          <w:numId w:val="1006"/>
        </w:numPr>
        <w:pStyle w:val="Compact"/>
      </w:pPr>
      <w:r>
        <w:rPr>
          <w:bCs/>
          <w:b/>
        </w:rPr>
        <w:t xml:space="preserve">Road Freight (Heavy Duty Truck):</w:t>
      </w:r>
      <w:r>
        <w:t xml:space="preserve"> </w:t>
      </w:r>
      <w:r>
        <w:t xml:space="preserve">0.092 kg CO2e/tonne-km (or 0.000092 kg CO2e/kg.km)</w:t>
      </w:r>
    </w:p>
    <w:p>
      <w:pPr>
        <w:numPr>
          <w:ilvl w:val="0"/>
          <w:numId w:val="1006"/>
        </w:numPr>
        <w:pStyle w:val="Compact"/>
      </w:pPr>
      <w:r>
        <w:rPr>
          <w:bCs/>
          <w:b/>
        </w:rPr>
        <w:t xml:space="preserve">Light Commercial Vehicle (Van):</w:t>
      </w:r>
      <w:r>
        <w:t xml:space="preserve"> </w:t>
      </w:r>
      <w:r>
        <w:t xml:space="preserve">0.00015 kg CO2e/kg.km (Derived from ~0.15 kg CO2/km for light commercial vehicles and assumed 1-tonne payload)</w:t>
      </w:r>
    </w:p>
    <w:p>
      <w:pPr>
        <w:numPr>
          <w:ilvl w:val="0"/>
          <w:numId w:val="1006"/>
        </w:numPr>
        <w:pStyle w:val="Compact"/>
      </w:pPr>
      <w:r>
        <w:rPr>
          <w:bCs/>
          <w:b/>
        </w:rPr>
        <w:t xml:space="preserve">European Electricity Grid Mix (Average):</w:t>
      </w:r>
      <w:r>
        <w:t xml:space="preserve"> </w:t>
      </w:r>
      <w:r>
        <w:t xml:space="preserve">0.238 kg CO2e/kWh</w:t>
      </w:r>
    </w:p>
    <w:p>
      <w:pPr>
        <w:numPr>
          <w:ilvl w:val="0"/>
          <w:numId w:val="1006"/>
        </w:numPr>
        <w:pStyle w:val="Compact"/>
      </w:pPr>
      <w:r>
        <w:rPr>
          <w:bCs/>
          <w:b/>
        </w:rPr>
        <w:t xml:space="preserve">Landfill (Mixed Waste):</w:t>
      </w:r>
      <w:r>
        <w:t xml:space="preserve"> </w:t>
      </w:r>
      <w:r>
        <w:t xml:space="preserve">0.5 kg CO2e/kg (Conservative average based on)</w:t>
      </w:r>
    </w:p>
    <w:p>
      <w:pPr>
        <w:numPr>
          <w:ilvl w:val="0"/>
          <w:numId w:val="1006"/>
        </w:numPr>
        <w:pStyle w:val="Compact"/>
      </w:pPr>
      <w:r>
        <w:rPr>
          <w:bCs/>
          <w:b/>
        </w:rPr>
        <w:t xml:space="preserve">Recycling Credit (Mixed Materials):</w:t>
      </w:r>
      <w:r>
        <w:t xml:space="preserve"> </w:t>
      </w:r>
      <w:r>
        <w:t xml:space="preserve">-1.5 kg CO2e/kg (Approximate credit for avoided virgin material production for mixed recyclables)</w:t>
      </w:r>
    </w:p>
    <w:bookmarkEnd w:id="30"/>
    <w:bookmarkStart w:id="31" w:name="ghg-protocol-scopes-2026-lsr-update"/>
    <w:p>
      <w:pPr>
        <w:pStyle w:val="Heading4"/>
      </w:pPr>
      <w:r>
        <w:t xml:space="preserve">GHG Protocol Scopes &amp; 2026 LSR Update</w:t>
      </w:r>
    </w:p>
    <w:p>
      <w:pPr>
        <w:pStyle w:val="FirstParagraph"/>
      </w:pPr>
      <w:r>
        <w:t xml:space="preserve">Emissions are categorized as per the GHG Protocol. The</w:t>
      </w:r>
      <w:r>
        <w:t xml:space="preserve"> </w:t>
      </w:r>
      <w:r>
        <w:rPr>
          <w:bCs/>
          <w:b/>
        </w:rPr>
        <w:t xml:space="preserve">2026 Land Sector and Removals (LSR) Standard</w:t>
      </w:r>
      <w:r>
        <w:t xml:space="preserve"> </w:t>
      </w:r>
      <w:r>
        <w:t xml:space="preserve">is applied by acknowledging the potential for carbon sequestration and land-use change impacts, particularly for biomass-derived materials like paper/cardboard. For the packaging material (MAT005), it is assumed that sustainably sourced paperboard minimizes land-use change emissions and may offer sequestration benefits, though specific quantitative LSR impacts for this material are embedded within its provided emission factor or considered negligible due to sustainable sourcing claims. Direct land-use change emissions from the product\'s value chain were not explicitly quantifiable with the provided data but are considered qualitatively.</w:t>
      </w:r>
    </w:p>
    <w:bookmarkEnd w:id="31"/>
    <w:bookmarkStart w:id="32" w:name="scope-3-compliance"/>
    <w:p>
      <w:pPr>
        <w:pStyle w:val="Heading4"/>
      </w:pPr>
      <w:r>
        <w:t xml:space="preserve">Scope 3 Compliance</w:t>
      </w:r>
    </w:p>
    <w:p>
      <w:pPr>
        <w:pStyle w:val="FirstParagraph"/>
      </w:pPr>
      <w:r>
        <w:t xml:space="preserve">The analysis ensures extensive coverage of product-relevant Scope 3 emissions, including all significant upstream and downstream categories as specified by the provided parameters. While a comprehensive organizational GHG inventory would include additional Scope 3 categories (e.g., employee commuting, business travel), this product-focused PCF covers the major categories directly attributable to ilujorqgyv\'s lifecycle, achieving approximately 87.01% of the total PCF under Scope 3. This substantial coverage addresses the requirement for robust Scope 3 reporting.</w:t>
      </w:r>
    </w:p>
    <w:bookmarkEnd w:id="32"/>
    <w:bookmarkEnd w:id="33"/>
    <w:bookmarkStart w:id="35" w:name="X1b698960f872e0056383f4f58a8a725f0c88a46"/>
    <w:p>
      <w:pPr>
        <w:pStyle w:val="Heading3"/>
      </w:pPr>
      <w:r>
        <w:t xml:space="preserve">PCF Results by Lifecycle Stage and GHG Protocol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Description</w:t>
            </w:r>
          </w:p>
        </w:tc>
        <w:tc>
          <w:tcPr/>
          <w:p>
            <w:pPr>
              <w:pStyle w:val="Compact"/>
              <w:jc w:val="left"/>
            </w:pPr>
            <w:r>
              <w:t xml:space="preserve">Emissions (kg CO2e)</w:t>
            </w:r>
          </w:p>
        </w:tc>
        <w:tc>
          <w:tcPr/>
          <w:p>
            <w:pPr>
              <w:pStyle w:val="Compact"/>
              <w:jc w:val="left"/>
            </w:pPr>
            <w:r>
              <w:t xml:space="preserve">GHG Scope</w:t>
            </w:r>
          </w:p>
        </w:tc>
      </w:tr>
      <w:tr>
        <w:tc>
          <w:tcPr/>
          <w:p>
            <w:pPr>
              <w:pStyle w:val="Compact"/>
              <w:jc w:val="left"/>
            </w:pPr>
            <w:r>
              <w:rPr>
                <w:bCs/>
                <w:b/>
              </w:rPr>
              <w:t xml:space="preserve">Materials Acquisition &amp; Processing</w:t>
            </w:r>
          </w:p>
        </w:tc>
        <w:tc>
          <w:tcPr/>
          <w:p>
            <w:pPr>
              <w:pStyle w:val="Compact"/>
              <w:jc w:val="left"/>
            </w:pPr>
            <w:r>
              <w:t xml:space="preserve">Upstream emissions from raw material extraction, production, and processing (from BOM).</w:t>
            </w:r>
          </w:p>
        </w:tc>
        <w:tc>
          <w:tcPr/>
          <w:p>
            <w:pPr>
              <w:pStyle w:val="Compact"/>
              <w:jc w:val="left"/>
            </w:pPr>
            <w:r>
              <w:t xml:space="preserve">9.85</w:t>
            </w:r>
          </w:p>
        </w:tc>
        <w:tc>
          <w:tcPr/>
          <w:p>
            <w:pPr>
              <w:pStyle w:val="Compact"/>
              <w:jc w:val="left"/>
            </w:pPr>
            <w:r>
              <w:t xml:space="preserve">Scope 3 (Category 1)</w:t>
            </w:r>
          </w:p>
        </w:tc>
      </w:tr>
      <w:tr>
        <w:tc>
          <w:tcPr/>
          <w:p>
            <w:pPr>
              <w:pStyle w:val="Compact"/>
              <w:jc w:val="left"/>
            </w:pPr>
            <w:r>
              <w:rPr>
                <w:bCs/>
                <w:b/>
              </w:rPr>
              <w:t xml:space="preserve">Upstream Transportation</w:t>
            </w:r>
          </w:p>
        </w:tc>
        <w:tc>
          <w:tcPr/>
          <w:p>
            <w:pPr>
              <w:pStyle w:val="Compact"/>
              <w:jc w:val="left"/>
            </w:pPr>
            <w:r>
              <w:t xml:space="preserve">Transport of raw materials to the manufacturing facility.</w:t>
            </w:r>
          </w:p>
        </w:tc>
        <w:tc>
          <w:tcPr/>
          <w:p>
            <w:pPr>
              <w:pStyle w:val="Compact"/>
              <w:jc w:val="left"/>
            </w:pPr>
            <w:r>
              <w:t xml:space="preserve">0.05</w:t>
            </w:r>
          </w:p>
        </w:tc>
        <w:tc>
          <w:tcPr/>
          <w:p>
            <w:pPr>
              <w:pStyle w:val="Compact"/>
              <w:jc w:val="left"/>
            </w:pPr>
            <w:r>
              <w:t xml:space="preserve">Scope 3 (Category 4)</w:t>
            </w:r>
          </w:p>
        </w:tc>
      </w:tr>
      <w:tr>
        <w:tc>
          <w:tcPr/>
          <w:p>
            <w:pPr>
              <w:pStyle w:val="Compact"/>
              <w:jc w:val="left"/>
            </w:pPr>
            <w:r>
              <w:rPr>
                <w:bCs/>
                <w:b/>
              </w:rPr>
              <w:t xml:space="preserve">Manufacturing (Direct)</w:t>
            </w:r>
          </w:p>
        </w:tc>
        <w:tc>
          <w:tcPr/>
          <w:p>
            <w:pPr>
              <w:pStyle w:val="Compact"/>
              <w:jc w:val="left"/>
            </w:pPr>
            <w:r>
              <w:t xml:space="preserve">Direct emissions from owned/controlled processes at the factory.</w:t>
            </w:r>
          </w:p>
        </w:tc>
        <w:tc>
          <w:tcPr/>
          <w:p>
            <w:pPr>
              <w:pStyle w:val="Compact"/>
              <w:jc w:val="left"/>
            </w:pPr>
            <w:r>
              <w:t xml:space="preserve">0.10</w:t>
            </w:r>
          </w:p>
        </w:tc>
        <w:tc>
          <w:tcPr/>
          <w:p>
            <w:pPr>
              <w:pStyle w:val="Compact"/>
              <w:jc w:val="left"/>
            </w:pPr>
            <w:r>
              <w:t xml:space="preserve">Scope 1</w:t>
            </w:r>
          </w:p>
        </w:tc>
      </w:tr>
      <w:tr>
        <w:tc>
          <w:tcPr/>
          <w:p>
            <w:pPr>
              <w:pStyle w:val="Compact"/>
              <w:jc w:val="left"/>
            </w:pPr>
            <w:r>
              <w:rPr>
                <w:bCs/>
                <w:b/>
              </w:rPr>
              <w:t xml:space="preserve">Manufacturing (Energy)</w:t>
            </w:r>
          </w:p>
        </w:tc>
        <w:tc>
          <w:tcPr/>
          <w:p>
            <w:pPr>
              <w:pStyle w:val="Compact"/>
              <w:jc w:val="left"/>
            </w:pPr>
            <w:r>
              <w:t xml:space="preserve">Emissions from purchased electricity for production.</w:t>
            </w:r>
          </w:p>
        </w:tc>
        <w:tc>
          <w:tcPr/>
          <w:p>
            <w:pPr>
              <w:pStyle w:val="Compact"/>
              <w:jc w:val="left"/>
            </w:pPr>
            <w:r>
              <w:t xml:space="preserve">2.98</w:t>
            </w:r>
          </w:p>
        </w:tc>
        <w:tc>
          <w:tcPr/>
          <w:p>
            <w:pPr>
              <w:pStyle w:val="Compact"/>
              <w:jc w:val="left"/>
            </w:pPr>
            <w:r>
              <w:t xml:space="preserve">Scope 2</w:t>
            </w:r>
          </w:p>
        </w:tc>
      </w:tr>
      <w:tr>
        <w:tc>
          <w:tcPr/>
          <w:p>
            <w:pPr>
              <w:pStyle w:val="Compact"/>
              <w:jc w:val="left"/>
            </w:pPr>
            <w:r>
              <w:rPr>
                <w:bCs/>
                <w:b/>
              </w:rPr>
              <w:t xml:space="preserve">Downstream Transportation</w:t>
            </w:r>
          </w:p>
        </w:tc>
        <w:tc>
          <w:tcPr/>
          <w:p>
            <w:pPr>
              <w:pStyle w:val="Compact"/>
              <w:jc w:val="left"/>
            </w:pPr>
            <w:r>
              <w:t xml:space="preserve">Transport of finished product from factory to market and last-mile delivery.</w:t>
            </w:r>
          </w:p>
        </w:tc>
        <w:tc>
          <w:tcPr/>
          <w:p>
            <w:pPr>
              <w:pStyle w:val="Compact"/>
              <w:jc w:val="left"/>
            </w:pPr>
            <w:r>
              <w:t xml:space="preserve">0.17</w:t>
            </w:r>
          </w:p>
        </w:tc>
        <w:tc>
          <w:tcPr/>
          <w:p>
            <w:pPr>
              <w:pStyle w:val="Compact"/>
              <w:jc w:val="left"/>
            </w:pPr>
            <w:r>
              <w:t xml:space="preserve">Scope 3 (Category 9)</w:t>
            </w:r>
          </w:p>
        </w:tc>
      </w:tr>
      <w:tr>
        <w:tc>
          <w:tcPr/>
          <w:p>
            <w:pPr>
              <w:pStyle w:val="Compact"/>
              <w:jc w:val="left"/>
            </w:pPr>
            <w:r>
              <w:rPr>
                <w:bCs/>
                <w:b/>
              </w:rPr>
              <w:t xml:space="preserve">Use Phase</w:t>
            </w:r>
          </w:p>
        </w:tc>
        <w:tc>
          <w:tcPr/>
          <w:p>
            <w:pPr>
              <w:pStyle w:val="Compact"/>
              <w:jc w:val="left"/>
            </w:pPr>
            <w:r>
              <w:t xml:space="preserve">Energy consumption during the product\'s lifespan.</w:t>
            </w:r>
          </w:p>
        </w:tc>
        <w:tc>
          <w:tcPr/>
          <w:p>
            <w:pPr>
              <w:pStyle w:val="Compact"/>
              <w:jc w:val="left"/>
            </w:pPr>
            <w:r>
              <w:t xml:space="preserve">11.90</w:t>
            </w:r>
          </w:p>
        </w:tc>
        <w:tc>
          <w:tcPr/>
          <w:p>
            <w:pPr>
              <w:pStyle w:val="Compact"/>
              <w:jc w:val="left"/>
            </w:pPr>
            <w:r>
              <w:t xml:space="preserve">Scope 3 (Category 11)</w:t>
            </w:r>
          </w:p>
        </w:tc>
      </w:tr>
      <w:tr>
        <w:tc>
          <w:tcPr/>
          <w:p>
            <w:pPr>
              <w:pStyle w:val="Compact"/>
              <w:jc w:val="left"/>
            </w:pPr>
            <w:r>
              <w:rPr>
                <w:bCs/>
                <w:b/>
              </w:rPr>
              <w:t xml:space="preserve">End-of-Life Treatment</w:t>
            </w:r>
          </w:p>
        </w:tc>
        <w:tc>
          <w:tcPr/>
          <w:p>
            <w:pPr>
              <w:pStyle w:val="Compact"/>
              <w:jc w:val="left"/>
            </w:pPr>
            <w:r>
              <w:t xml:space="preserve">Emissions from disposal and credits from recycling/circular programs.</w:t>
            </w:r>
          </w:p>
        </w:tc>
        <w:tc>
          <w:tcPr/>
          <w:p>
            <w:pPr>
              <w:pStyle w:val="Compact"/>
              <w:jc w:val="left"/>
            </w:pPr>
            <w:r>
              <w:t xml:space="preserve">-1.26</w:t>
            </w:r>
          </w:p>
        </w:tc>
        <w:tc>
          <w:tcPr/>
          <w:p>
            <w:pPr>
              <w:pStyle w:val="Compact"/>
              <w:jc w:val="left"/>
            </w:pPr>
            <w:r>
              <w:t xml:space="preserve">Scope 3 (Category 12)</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23.79</w:t>
            </w:r>
          </w:p>
        </w:tc>
        <w:tc>
          <w:tcPr/>
          <w:p>
            <w:pPr>
              <w:pStyle w:val="Compact"/>
            </w:pPr>
          </w:p>
        </w:tc>
      </w:tr>
    </w:tbl>
    <w:p>
      <w:pPr>
        <w:pStyle w:val="BodyText"/>
      </w:pPr>
      <w:r>
        <w:rPr>
          <w:iCs/>
          <w:i/>
        </w:rPr>
        <w:t xml:space="preserve">Note: Individual numbers may not sum exactly to total due to rounding.</w:t>
      </w:r>
    </w:p>
    <w:bookmarkStart w:id="34" w:name="summary-by-ghg-protocol-scope"/>
    <w:p>
      <w:pPr>
        <w:pStyle w:val="Heading4"/>
      </w:pPr>
      <w:r>
        <w:t xml:space="preserve">Summary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0.10</w:t>
            </w:r>
          </w:p>
        </w:tc>
        <w:tc>
          <w:tcPr/>
          <w:p>
            <w:pPr>
              <w:pStyle w:val="Compact"/>
              <w:jc w:val="left"/>
            </w:pPr>
            <w:r>
              <w:t xml:space="preserve">0.42%</w:t>
            </w:r>
          </w:p>
        </w:tc>
      </w:tr>
      <w:tr>
        <w:tc>
          <w:tcPr/>
          <w:p>
            <w:pPr>
              <w:pStyle w:val="Compact"/>
              <w:jc w:val="left"/>
            </w:pPr>
            <w:r>
              <w:t xml:space="preserve">Scope 2 (Purchased Energy)</w:t>
            </w:r>
          </w:p>
        </w:tc>
        <w:tc>
          <w:tcPr/>
          <w:p>
            <w:pPr>
              <w:pStyle w:val="Compact"/>
              <w:jc w:val="left"/>
            </w:pPr>
            <w:r>
              <w:t xml:space="preserve">2.98</w:t>
            </w:r>
          </w:p>
        </w:tc>
        <w:tc>
          <w:tcPr/>
          <w:p>
            <w:pPr>
              <w:pStyle w:val="Compact"/>
              <w:jc w:val="left"/>
            </w:pPr>
            <w:r>
              <w:t xml:space="preserve">12.53%</w:t>
            </w:r>
          </w:p>
        </w:tc>
      </w:tr>
      <w:tr>
        <w:tc>
          <w:tcPr/>
          <w:p>
            <w:pPr>
              <w:pStyle w:val="Compact"/>
              <w:jc w:val="left"/>
            </w:pPr>
            <w:r>
              <w:t xml:space="preserve">Scope 3 (Value Chain Emissions)</w:t>
            </w:r>
          </w:p>
        </w:tc>
        <w:tc>
          <w:tcPr/>
          <w:p>
            <w:pPr>
              <w:pStyle w:val="Compact"/>
              <w:jc w:val="left"/>
            </w:pPr>
            <w:r>
              <w:t xml:space="preserve">20.60</w:t>
            </w:r>
          </w:p>
        </w:tc>
        <w:tc>
          <w:tcPr/>
          <w:p>
            <w:pPr>
              <w:pStyle w:val="Compact"/>
              <w:jc w:val="left"/>
            </w:pPr>
            <w:r>
              <w:t xml:space="preserve">87.05%</w:t>
            </w:r>
          </w:p>
        </w:tc>
      </w:tr>
      <w:tr>
        <w:tc>
          <w:tcPr/>
          <w:p>
            <w:pPr>
              <w:pStyle w:val="Compact"/>
              <w:jc w:val="left"/>
            </w:pPr>
            <w:r>
              <w:rPr>
                <w:bCs/>
                <w:b/>
              </w:rPr>
              <w:t xml:space="preserve">Total PCF</w:t>
            </w:r>
          </w:p>
        </w:tc>
        <w:tc>
          <w:tcPr/>
          <w:p>
            <w:pPr>
              <w:pStyle w:val="Compact"/>
              <w:jc w:val="left"/>
            </w:pPr>
            <w:r>
              <w:rPr>
                <w:bCs/>
                <w:b/>
              </w:rPr>
              <w:t xml:space="preserve">23.68</w:t>
            </w:r>
          </w:p>
        </w:tc>
        <w:tc>
          <w:tcPr/>
          <w:p>
            <w:pPr>
              <w:pStyle w:val="Compact"/>
              <w:jc w:val="left"/>
            </w:pPr>
            <w:r>
              <w:rPr>
                <w:bCs/>
                <w:b/>
              </w:rPr>
              <w:t xml:space="preserve">100.00%</w:t>
            </w:r>
          </w:p>
        </w:tc>
      </w:tr>
    </w:tbl>
    <w:p>
      <w:r>
        <w:pict>
          <v:rect style="width:0;height:1.5pt" o:hralign="center" o:hrstd="t" o:hr="t"/>
        </w:pict>
      </w:r>
    </w:p>
    <w:bookmarkEnd w:id="34"/>
    <w:bookmarkEnd w:id="35"/>
    <w:bookmarkStart w:id="38" w:name="review-report"/>
    <w:p>
      <w:pPr>
        <w:pStyle w:val="Heading3"/>
      </w:pPr>
      <w:r>
        <w:t xml:space="preserve">5. Review &amp; Report</w:t>
      </w:r>
    </w:p>
    <w:bookmarkStart w:id="36" w:name="hotspot-analysis"/>
    <w:p>
      <w:pPr>
        <w:pStyle w:val="Heading4"/>
      </w:pPr>
      <w:r>
        <w:t xml:space="preserve">Hotspot Analysis</w:t>
      </w:r>
    </w:p>
    <w:p>
      <w:pPr>
        <w:pStyle w:val="FirstParagraph"/>
      </w:pPr>
      <w:r>
        <w:t xml:space="preserve">The analysis reveals the primary emission hotspots for ilujorqgyv:</w:t>
      </w:r>
    </w:p>
    <w:p>
      <w:pPr>
        <w:numPr>
          <w:ilvl w:val="0"/>
          <w:numId w:val="1007"/>
        </w:numPr>
        <w:pStyle w:val="Compact"/>
      </w:pPr>
      <w:r>
        <w:rPr>
          <w:bCs/>
          <w:b/>
        </w:rPr>
        <w:t xml:space="preserve">Use Phase (Scope 3):</w:t>
      </w:r>
      <w:r>
        <w:t xml:space="preserve"> </w:t>
      </w:r>
      <w:r>
        <w:t xml:space="preserve">Accounting for approximately 50.25% of the total PCF, the energy consumption during the product\'s 5-year lifespan is the single largest contributor. This highlights the importance of energy-efficient design and user behavior.</w:t>
      </w:r>
    </w:p>
    <w:p>
      <w:pPr>
        <w:numPr>
          <w:ilvl w:val="0"/>
          <w:numId w:val="1007"/>
        </w:numPr>
        <w:pStyle w:val="Compact"/>
      </w:pPr>
      <w:r>
        <w:rPr>
          <w:bCs/>
          <w:b/>
        </w:rPr>
        <w:t xml:space="preserve">Materials Acquisition &amp; Processing (Scope 3):</w:t>
      </w:r>
      <w:r>
        <w:t xml:space="preserve"> </w:t>
      </w:r>
      <w:r>
        <w:t xml:space="preserve">At approximately 41.60% of the total PCF, the environmental impact of raw materials, particularly aluminum and the circuit board, is substantial. This emphasizes the need for sustainable material sourcing and design for material efficiency.</w:t>
      </w:r>
    </w:p>
    <w:p>
      <w:pPr>
        <w:numPr>
          <w:ilvl w:val="0"/>
          <w:numId w:val="1007"/>
        </w:numPr>
        <w:pStyle w:val="Compact"/>
      </w:pPr>
      <w:r>
        <w:rPr>
          <w:bCs/>
          <w:b/>
        </w:rPr>
        <w:t xml:space="preserve">Manufacturing (Scope 2):</w:t>
      </w:r>
      <w:r>
        <w:t xml:space="preserve"> </w:t>
      </w:r>
      <w:r>
        <w:t xml:space="preserve">Purchased electricity for production contributes about 12.53% of the total PCF. While fjverhoehp utilizes 75% renewable energy, the remaining grid electricity still contributes notably.</w:t>
      </w:r>
    </w:p>
    <w:p>
      <w:pPr>
        <w:numPr>
          <w:ilvl w:val="0"/>
          <w:numId w:val="1007"/>
        </w:numPr>
        <w:pStyle w:val="Compact"/>
      </w:pPr>
      <w:r>
        <w:rPr>
          <w:bCs/>
          <w:b/>
        </w:rPr>
        <w:t xml:space="preserve">End-of-Life (Scope 3):</w:t>
      </w:r>
      <w:r>
        <w:t xml:space="preserve"> </w:t>
      </w:r>
      <w:r>
        <w:t xml:space="preserve">The end-of-life stage provides a net carbon credit due to the high recyclability (80%) and the presence of circular/take-back programs, demonstrating a positive impact of circular economy initiatives.</w:t>
      </w:r>
    </w:p>
    <w:bookmarkEnd w:id="36"/>
    <w:bookmarkStart w:id="37" w:name="reliability-and-limitations"/>
    <w:p>
      <w:pPr>
        <w:pStyle w:val="Heading4"/>
      </w:pPr>
      <w:r>
        <w:t xml:space="preserve">Reliability and Limitations</w:t>
      </w:r>
    </w:p>
    <w:p>
      <w:pPr>
        <w:pStyle w:val="FirstParagraph"/>
      </w:pPr>
      <w:r>
        <w:t xml:space="preserve">The reliability of this PCF is high for the specified parameters. However, it relies on several assumptions, particularly for generic emission factors and placeholder values for unquantified parameters (e.g., specific transport distances for last-mile, upstream material transport, and direct Scope 1 emissions). Primary data for all aspects of the supply chain would further enhance accuracy. The application of the 2026 LSR Standard for a product PCF without detailed land-use change data for each material is inherently qualitative, focusing on principles rather than precise numerical impacts. The Scope 3 coverage, while extensive for product-specific categories, does not encompass all potential corporate-level Scope 3 categories (e.g., business travel, employee commuting) which would be necessary for a 95% overall organizational GHG inventory.</w:t>
      </w:r>
    </w:p>
    <w:p>
      <w:r>
        <w:pict>
          <v:rect style="width:0;height:1.5pt" o:hralign="center" o:hrstd="t" o:hr="t"/>
        </w:pict>
      </w:r>
    </w:p>
    <w:bookmarkEnd w:id="37"/>
    <w:bookmarkEnd w:id="38"/>
    <w:bookmarkEnd w:id="39"/>
    <w:bookmarkStart w:id="40" w:name="recommendations"/>
    <w:p>
      <w:pPr>
        <w:pStyle w:val="Heading2"/>
      </w:pPr>
      <w:r>
        <w:t xml:space="preserve">Recommendations</w:t>
      </w:r>
    </w:p>
    <w:p>
      <w:pPr>
        <w:pStyle w:val="FirstParagraph"/>
      </w:pPr>
      <w:r>
        <w:t xml:space="preserve">Based on this PCF analysis, fjverhoehp can consider the following recommendations to further reduce the environmental impact of ilujorqgyv:</w:t>
      </w:r>
    </w:p>
    <w:p>
      <w:pPr>
        <w:numPr>
          <w:ilvl w:val="0"/>
          <w:numId w:val="1008"/>
        </w:numPr>
        <w:pStyle w:val="Compact"/>
      </w:pPr>
      <w:r>
        <w:rPr>
          <w:bCs/>
          <w:b/>
        </w:rPr>
        <w:t xml:space="preserve">Optimize Use Phase Efficiency:</w:t>
      </w:r>
      <w:r>
        <w:t xml:space="preserve"> </w:t>
      </w:r>
      <w:r>
        <w:t xml:space="preserve">Focus on improving the energy efficiency of ilujorqgyv during its operational lifespan. This could involve developing lower-power components, integrating smart energy-saving features, or educating users on efficient usage patterns.</w:t>
      </w:r>
    </w:p>
    <w:p>
      <w:pPr>
        <w:numPr>
          <w:ilvl w:val="0"/>
          <w:numId w:val="1008"/>
        </w:numPr>
        <w:pStyle w:val="Compact"/>
      </w:pPr>
      <w:r>
        <w:rPr>
          <w:bCs/>
          <w:b/>
        </w:rPr>
        <w:t xml:space="preserve">Enhance Material Sustainability:</w:t>
      </w:r>
      <w:r>
        <w:t xml:space="preserve"> </w:t>
      </w:r>
      <w:r>
        <w:t xml:space="preserve">Invest in research and development for lower-carbon alternative materials, especially for the aluminum casing and circuit board components. Explore opportunities for increased recycled content in materials where feasible and environmentally beneficial.</w:t>
      </w:r>
    </w:p>
    <w:p>
      <w:pPr>
        <w:numPr>
          <w:ilvl w:val="0"/>
          <w:numId w:val="1008"/>
        </w:numPr>
        <w:pStyle w:val="Compact"/>
      </w:pPr>
      <w:r>
        <w:rPr>
          <w:bCs/>
          <w:b/>
        </w:rPr>
        <w:t xml:space="preserve">Increase Renewable Energy Sourcing:</w:t>
      </w:r>
      <w:r>
        <w:t xml:space="preserve"> </w:t>
      </w:r>
      <w:r>
        <w:t xml:space="preserve">While 75% renewable energy usage is commendable, further increasing this percentage for manufacturing operations or exploring renewable energy certificates for the remaining grid electricity can reduce Scope 2 emissions.</w:t>
      </w:r>
    </w:p>
    <w:p>
      <w:pPr>
        <w:numPr>
          <w:ilvl w:val="0"/>
          <w:numId w:val="1008"/>
        </w:numPr>
        <w:pStyle w:val="Compact"/>
      </w:pPr>
      <w:r>
        <w:rPr>
          <w:bCs/>
          <w:b/>
        </w:rPr>
        <w:t xml:space="preserve">Logistics Optimization:</w:t>
      </w:r>
      <w:r>
        <w:t xml:space="preserve"> </w:t>
      </w:r>
      <w:r>
        <w:t xml:space="preserve">Investigate more carbon-efficient transport modes for primary distribution, such as rail or sea freight where practicable, to reduce downstream Scope 3 emissions. Optimize last-mile delivery routes and consider electric or alternative fuel vehicles for urban deliveries.</w:t>
      </w:r>
    </w:p>
    <w:p>
      <w:pPr>
        <w:numPr>
          <w:ilvl w:val="0"/>
          <w:numId w:val="1008"/>
        </w:numPr>
        <w:pStyle w:val="Compact"/>
      </w:pPr>
      <w:r>
        <w:rPr>
          <w:bCs/>
          <w:b/>
        </w:rPr>
        <w:t xml:space="preserve">Strengthen Circular Economy Initiatives:</w:t>
      </w:r>
      <w:r>
        <w:t xml:space="preserve"> </w:t>
      </w:r>
      <w:r>
        <w:t xml:space="preserve">Continue to promote and expand take-back and recycling programs. Explore design-for-disassembly and modular design to facilitate easier repair, refurbishment, and higher-quality recycling outcomes.</w:t>
      </w:r>
    </w:p>
    <w:p>
      <w:r>
        <w:pict>
          <v:rect style="width:0;height:1.5pt" o:hralign="center" o:hrstd="t" o:hr="t"/>
        </w:pict>
      </w:r>
    </w:p>
    <w:p>
      <w:pPr>
        <w:pStyle w:val="FirstParagraph"/>
      </w:pPr>
      <w:r>
        <w:t xml:space="preserve">Confidential - Internal Use Only | Page</w:t>
      </w:r>
      <w:r>
        <w:t xml:space="preserve"> </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ilujorqgyv</dc:title>
  <dc:creator/>
  <dc:description>High-detail Product Carbon Footprint (PCF) analysis report for ilujorqgyv, conducted by nxmowmzewz, Senior Sustainability Consultant for fjverhoehp, adhering to GHG Protocol and 2026 LSR standards.</dc:description>
  <dc:language>en</dc:language>
  <cp:keywords/>
  <dcterms:created xsi:type="dcterms:W3CDTF">2026-05-30T11:32:18Z</dcterms:created>
  <dcterms:modified xsi:type="dcterms:W3CDTF">2026-05-30T11:32:18Z</dcterms:modified>
</cp:coreProperties>
</file>

<file path=docProps/custom.xml><?xml version="1.0" encoding="utf-8"?>
<Properties xmlns="http://schemas.openxmlformats.org/officeDocument/2006/custom-properties" xmlns:vt="http://schemas.openxmlformats.org/officeDocument/2006/docPropsVTypes"/>
</file>