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ilhnhdlgtl</w:t>
      </w:r>
      <w:r>
        <w:t xml:space="preserve"> </w:t>
      </w:r>
      <w:r>
        <w:t xml:space="preserve">-</w:t>
      </w:r>
      <w:r>
        <w:t xml:space="preserve"> </w:t>
      </w:r>
      <w:r>
        <w:t xml:space="preserve">sqsheprduz</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ilhnhdlgtl</w:t>
      </w:r>
    </w:p>
    <w:p>
      <w:pPr>
        <w:pStyle w:val="BodyText"/>
      </w:pPr>
      <w:r>
        <w:rPr>
          <w:bCs/>
          <w:b/>
        </w:rPr>
        <w:t xml:space="preserve">Company Name:</w:t>
      </w:r>
      <w:r>
        <w:t xml:space="preserve"> </w:t>
      </w:r>
      <w:r>
        <w:t xml:space="preserve">sqsheprduz</w:t>
      </w:r>
    </w:p>
    <w:p>
      <w:pPr>
        <w:pStyle w:val="BodyText"/>
      </w:pPr>
      <w:r>
        <w:rPr>
          <w:bCs/>
          <w:b/>
        </w:rPr>
        <w:t xml:space="preserve">Senior Sustainability Consultant:</w:t>
      </w:r>
      <w:r>
        <w:t xml:space="preserve"> </w:t>
      </w:r>
      <w:r>
        <w:t xml:space="preserve">ouvyedriok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and comprehensive coverage, it relies on the quality and completeness of provided inputs and representative emission factors.</w:t>
      </w:r>
    </w:p>
    <w:bookmarkEnd w:id="20"/>
    <w:bookmarkStart w:id="40"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Product Carbon Footprint (PCF) analysis, conducted by ouvyedriok, Senior Sustainability Consultant, for sqsheprduz, provides a high-detail assessment of the greenhouse gas (GHG) emissions associated with the product "ilhnhdlgtl." The analysis strictly adheres to the GHG Protocol standards, incorporating the latest 2026 requirements, including the Land Sector and Removals (LSR) Standard and ensuring at least 95% coverage for Scope 3 emissions. The report covers the lifecycle from material acquisition to the factory gate, with considerations for the use phase and end-of-life scenarios.</w:t>
      </w:r>
    </w:p>
    <w:p>
      <w:r>
        <w:pict>
          <v:rect style="width:0;height:1.5pt" o:hralign="center" o:hrstd="t" o:hr="t"/>
        </w:pict>
      </w:r>
    </w:p>
    <w:bookmarkEnd w:id="21"/>
    <w:bookmarkStart w:id="37" w:name="methodology"/>
    <w:p>
      <w:pPr>
        <w:pStyle w:val="Heading2"/>
      </w:pPr>
      <w:r>
        <w:t xml:space="preserve">2. Methodology</w:t>
      </w:r>
    </w:p>
    <w:p>
      <w:pPr>
        <w:pStyle w:val="FirstParagraph"/>
      </w:pPr>
      <w:r>
        <w:t xml:space="preserve">The PCF analysis for ilhnhdlgtl follows the five-step methodology prescribed by the GHG Protocol:</w:t>
      </w:r>
    </w:p>
    <w:p>
      <w:pPr>
        <w:numPr>
          <w:ilvl w:val="0"/>
          <w:numId w:val="1001"/>
        </w:numPr>
        <w:pStyle w:val="Heading3"/>
      </w:pPr>
      <w:bookmarkStart w:id="22" w:name="define-scope"/>
      <w:r>
        <w:t xml:space="preserve">Define Scope</w:t>
      </w:r>
      <w:bookmarkEnd w:id="22"/>
    </w:p>
    <w:p>
      <w:pPr>
        <w:numPr>
          <w:ilvl w:val="0"/>
          <w:numId w:val="1000"/>
        </w:numPr>
      </w:pPr>
      <w:r>
        <w:t xml:space="preserve">The functional unit for this analysis is 1.0 unit of ilhnhdlgtl. The system boundary is defined as "factory_gate," encompassing all emissions from raw material extraction and processing (cradle) through manufacturing processes up to the point the finished product leaves the factory. This includes upstream transportation, production, and packaging. Additionally, the analysis incorporates elements of the downstream value chain, specifically the use phase and end-of-life treatment. The geographic scope focuses on the final production country, China, with a supply chain focus on Europe. Allocation of emissions is performed consistently across the product lifecycle.</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A comprehensive lifecycle map of ilhnhdlgtl has been developed, detailing all stages from raw material extraction to end-of-life. This involves identifying key processes and inputs at each stage to create a detailed Life Cycle Inventory (LCI).</w:t>
      </w:r>
    </w:p>
    <w:p>
      <w:pPr>
        <w:numPr>
          <w:ilvl w:val="0"/>
          <w:numId w:val="1000"/>
        </w:numPr>
        <w:pStyle w:val="Heading4"/>
      </w:pPr>
      <w:bookmarkStart w:id="24" w:name="X8939f35e592b607d8b473759dccbfeea48278a4"/>
      <w:r>
        <w:t xml:space="preserve">Detailed Breakdown of Materials (Upstream - Scope 3, Category 1)</w:t>
      </w:r>
      <w:bookmarkEnd w:id="24"/>
    </w:p>
    <w:p>
      <w:pPr>
        <w:numPr>
          <w:ilvl w:val="0"/>
          <w:numId w:val="1000"/>
        </w:numPr>
      </w:pPr>
      <w:r>
        <w:t xml:space="preserve">The following Bill of Materials (BOM) for \'topvpxff\' (representing product ilhnhdlgtl) has been used to calculate the material impact. The emission factors for materials are derived from industry-standard databases (e.g., representative values from Ecoinvent/DEFRA), providing a robust basis for calculating the carbon footprint of purchased goods and services. Note: The quantities and emission factors for this illustrative BOM are based on common industry averages due to placeholder input for \'topvpxff\' and serve to demonstrate the calculation method.</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4.5</w:t>
            </w:r>
          </w:p>
        </w:tc>
        <w:tc>
          <w:tcPr/>
          <w:p>
            <w:pPr>
              <w:pStyle w:val="Compact"/>
              <w:jc w:val="left"/>
            </w:pPr>
            <w:r>
              <w:t xml:space="preserve">2.25</w:t>
            </w:r>
          </w:p>
        </w:tc>
      </w:tr>
      <w:tr>
        <w:tc>
          <w:tcPr/>
          <w:p>
            <w:pPr>
              <w:pStyle w:val="Compact"/>
              <w:jc w:val="left"/>
            </w:pPr>
            <w:r>
              <w:t xml:space="preserve">M2</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Sheet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M3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M4</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Component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Footprint:</w:t>
            </w:r>
          </w:p>
        </w:tc>
        <w:tc>
          <w:tcPr/>
          <w:p>
            <w:pPr>
              <w:pStyle w:val="Compact"/>
              <w:jc w:val="left"/>
            </w:pPr>
            <w:r>
              <w:rPr>
                <w:bCs/>
                <w:b/>
              </w:rPr>
              <w:t xml:space="preserve">3.86 kgCO2e</w:t>
            </w:r>
          </w:p>
        </w:tc>
      </w:tr>
    </w:tbl>
    <w:p>
      <w:pPr>
        <w:numPr>
          <w:ilvl w:val="0"/>
          <w:numId w:val="1000"/>
        </w:numPr>
        <w:pStyle w:val="Heading4"/>
      </w:pPr>
      <w:bookmarkStart w:id="25" w:name="X6c09cdec3230cb9e53e3f94e022d16605d2ce0e"/>
      <w:r>
        <w:t xml:space="preserve">Energy Inputs (Production Phase - Scope 2 &amp; Scope 3, Category 3)</w:t>
      </w:r>
      <w:bookmarkEnd w:id="25"/>
    </w:p>
    <w:p>
      <w:pPr>
        <w:numPr>
          <w:ilvl w:val="0"/>
          <w:numId w:val="1000"/>
        </w:numPr>
      </w:pPr>
      <w:r>
        <w:t xml:space="preserve">Energy consumption for the production phase of ilhnhdlgtl is a critical component of the footprint. The analysis uses a provided Energy Intensity of</w:t>
      </w:r>
      <w:r>
        <w:t xml:space="preserve"> </w:t>
      </w:r>
      <w:r>
        <w:rPr>
          <w:bCs/>
          <w:b/>
        </w:rPr>
        <w:t xml:space="preserve">tszgnkhkdo kWh/unit</w:t>
      </w:r>
      <w:r>
        <w:t xml:space="preserve"> </w:t>
      </w:r>
      <w:r>
        <w:t xml:space="preserve">(assumed 20 kWh/unit for calculation). The Renewable Energy Usage for the production facility is</w:t>
      </w:r>
      <w:r>
        <w:t xml:space="preserve"> </w:t>
      </w:r>
      <w:r>
        <w:rPr>
          <w:bCs/>
          <w:b/>
        </w:rPr>
        <w:t xml:space="preserve">pogfeojiom%</w:t>
      </w:r>
      <w:r>
        <w:t xml:space="preserve"> </w:t>
      </w:r>
      <w:r>
        <w:t xml:space="preserve">(assumed 80% for calculation). Emissions from purchased electricity are categorized under Scope 2, while upstream emissions related to fuel and energy not included in Scope 1 or 2 (e.g., T&amp;D losses, extraction and production of fuels) fall under Scope 3, Category 3.</w:t>
      </w:r>
    </w:p>
    <w:p>
      <w:pPr>
        <w:numPr>
          <w:ilvl w:val="0"/>
          <w:numId w:val="1000"/>
        </w:numPr>
      </w:pPr>
      <w:r>
        <w:t xml:space="preserve">The emission factor for grid electricity in China (the final production country) is approximately 0.556 kg CO2e/kWh, with forecasts showing a decline to around 0.415 kg CO2e/kWh by 2030. For this report, an illustrative factor of 0.500 kg CO2e/kWh (500 g CO2e/kWh) for non-renewable electricity is used for 2026.</w:t>
      </w:r>
    </w:p>
    <w:p>
      <w:pPr>
        <w:numPr>
          <w:ilvl w:val="0"/>
          <w:numId w:val="1000"/>
        </w:numPr>
        <w:pStyle w:val="Heading4"/>
      </w:pPr>
      <w:bookmarkStart w:id="26" w:name="X4d5f6729b6390e8f2232261da63e5f4cc3a1e2f"/>
      <w:r>
        <w:t xml:space="preserve">Transport Logistics (Upstream &amp; Downstream - Scope 3, Categories 4 &amp; 9)</w:t>
      </w:r>
      <w:bookmarkEnd w:id="26"/>
    </w:p>
    <w:p>
      <w:pPr>
        <w:numPr>
          <w:ilvl w:val="0"/>
          <w:numId w:val="1000"/>
        </w:numPr>
      </w:pPr>
      <w:r>
        <w:t xml:space="preserve">Transportation impacts are integrated into the supply chain analysis.</w:t>
      </w:r>
    </w:p>
    <w:p>
      <w:pPr>
        <w:numPr>
          <w:ilvl w:val="1"/>
          <w:numId w:val="1002"/>
        </w:numPr>
        <w:pStyle w:val="Compact"/>
      </w:pPr>
      <w:r>
        <w:rPr>
          <w:bCs/>
          <w:b/>
        </w:rPr>
        <w:t xml:space="preserve">Transport Mode:</w:t>
      </w:r>
      <w:r>
        <w:t xml:space="preserve"> </w:t>
      </w:r>
      <w:r>
        <w:t xml:space="preserve">Select Mode (assumed Road Freight - HGV &gt; 16t for calculation)</w:t>
      </w:r>
    </w:p>
    <w:p>
      <w:pPr>
        <w:numPr>
          <w:ilvl w:val="1"/>
          <w:numId w:val="1002"/>
        </w:numPr>
        <w:pStyle w:val="Compact"/>
      </w:pPr>
      <w:r>
        <w:rPr>
          <w:bCs/>
          <w:b/>
        </w:rPr>
        <w:t xml:space="preserve">Transport Distance:</w:t>
      </w:r>
      <w:r>
        <w:t xml:space="preserve"> </w:t>
      </w:r>
      <w:r>
        <w:t xml:space="preserve">rrstfrmhzt (assumed 1000 km for calculation)</w:t>
      </w:r>
    </w:p>
    <w:p>
      <w:pPr>
        <w:numPr>
          <w:ilvl w:val="1"/>
          <w:numId w:val="1002"/>
        </w:numPr>
        <w:pStyle w:val="Compact"/>
      </w:pPr>
      <w:r>
        <w:rPr>
          <w:bCs/>
          <w:b/>
        </w:rPr>
        <w:t xml:space="preserve">Last-Mile Delivery Channel:</w:t>
      </w:r>
      <w:r>
        <w:t xml:space="preserve"> </w:t>
      </w:r>
      <w:r>
        <w:t xml:space="preserve">Delivery Type (assumed Parcel Delivery - van for calculation)</w:t>
      </w:r>
    </w:p>
    <w:p>
      <w:pPr>
        <w:numPr>
          <w:ilvl w:val="1"/>
          <w:numId w:val="1002"/>
        </w:numPr>
        <w:pStyle w:val="Compact"/>
      </w:pPr>
      <w:r>
        <w:rPr>
          <w:bCs/>
          <w:b/>
        </w:rPr>
        <w:t xml:space="preserve">Last-Mile Delivery Distance:</w:t>
      </w:r>
      <w:r>
        <w:t xml:space="preserve"> </w:t>
      </w:r>
      <w:r>
        <w:t xml:space="preserve">Assumed 100 km (illustrative)</w:t>
      </w:r>
    </w:p>
    <w:p>
      <w:pPr>
        <w:numPr>
          <w:ilvl w:val="0"/>
          <w:numId w:val="1000"/>
        </w:numPr>
      </w:pPr>
      <w:r>
        <w:t xml:space="preserve">Emission factors for road freight typically range from 0.0565 kg CO2/tonne-km to 0.108 kg CO2e/tonne-km. For this analysis, an illustrative factor of 0.08 kg CO2e/tonne-km for Road Freight (HGV &gt; 16t) is used. For parcel delivery by van, an emission factor of approximately 0.2 kg CO2e/km is used for illustration.</w:t>
      </w:r>
    </w:p>
    <w:p>
      <w:pPr>
        <w:numPr>
          <w:ilvl w:val="0"/>
          <w:numId w:val="1000"/>
        </w:numPr>
        <w:pStyle w:val="Heading4"/>
      </w:pPr>
      <w:bookmarkStart w:id="27" w:name="X01fffecb4d51cf9638741502492363d57dc681a"/>
      <w:r>
        <w:t xml:space="preserve">Use Phase (Downstream - Scope 3, Category 11)</w:t>
      </w:r>
      <w:bookmarkEnd w:id="27"/>
    </w:p>
    <w:p>
      <w:pPr>
        <w:numPr>
          <w:ilvl w:val="0"/>
          <w:numId w:val="1000"/>
        </w:numPr>
      </w:pPr>
      <w:r>
        <w:t xml:space="preserve">The \'Use Phase\' calculation incorporates specific durability and consumption data.</w:t>
      </w:r>
    </w:p>
    <w:p>
      <w:pPr>
        <w:numPr>
          <w:ilvl w:val="1"/>
          <w:numId w:val="1003"/>
        </w:numPr>
        <w:pStyle w:val="Compact"/>
      </w:pPr>
      <w:r>
        <w:rPr>
          <w:bCs/>
          <w:b/>
        </w:rPr>
        <w:t xml:space="preserve">Product Lifespan:</w:t>
      </w:r>
      <w:r>
        <w:t xml:space="preserve"> </w:t>
      </w:r>
      <w:r>
        <w:t xml:space="preserve">ofjksshzov (assumed 5 years for calculation)</w:t>
      </w:r>
    </w:p>
    <w:p>
      <w:pPr>
        <w:numPr>
          <w:ilvl w:val="1"/>
          <w:numId w:val="1003"/>
        </w:numPr>
        <w:pStyle w:val="Compact"/>
      </w:pPr>
      <w:r>
        <w:rPr>
          <w:bCs/>
          <w:b/>
        </w:rPr>
        <w:t xml:space="preserve">Energy Consumption in Use:</w:t>
      </w:r>
      <w:r>
        <w:t xml:space="preserve"> </w:t>
      </w:r>
      <w:r>
        <w:t xml:space="preserve">pfphnwkuxy (assumed 10 kWh/year for calculation)</w:t>
      </w:r>
    </w:p>
    <w:p>
      <w:pPr>
        <w:numPr>
          <w:ilvl w:val="0"/>
          <w:numId w:val="1000"/>
        </w:numPr>
      </w:pPr>
      <w:r>
        <w:t xml:space="preserve">Emissions from the use of sold products, particularly energy consumption during use, are accounted for as Scope 3, Category 11 emissions.</w:t>
      </w:r>
    </w:p>
    <w:p>
      <w:pPr>
        <w:numPr>
          <w:ilvl w:val="0"/>
          <w:numId w:val="1000"/>
        </w:numPr>
        <w:pStyle w:val="Heading4"/>
      </w:pPr>
      <w:bookmarkStart w:id="28" w:name="X4d0a35b26e7db34817e0bc89b55f1c1db252a4e"/>
      <w:r>
        <w:t xml:space="preserve">End-of-Life (EoL) Scenarios (Downstream - Scope 3, Category 12)</w:t>
      </w:r>
      <w:bookmarkEnd w:id="28"/>
    </w:p>
    <w:p>
      <w:pPr>
        <w:numPr>
          <w:ilvl w:val="0"/>
          <w:numId w:val="1000"/>
        </w:numPr>
      </w:pPr>
      <w:r>
        <w:t xml:space="preserve">End-of-Life scenarios are incorporated to reflect circular economy impacts.</w:t>
      </w:r>
    </w:p>
    <w:p>
      <w:pPr>
        <w:numPr>
          <w:ilvl w:val="1"/>
          <w:numId w:val="1004"/>
        </w:numPr>
        <w:pStyle w:val="Compact"/>
      </w:pPr>
      <w:r>
        <w:rPr>
          <w:bCs/>
          <w:b/>
        </w:rPr>
        <w:t xml:space="preserve">Recyclability Percentage:</w:t>
      </w:r>
      <w:r>
        <w:t xml:space="preserve"> </w:t>
      </w:r>
      <w:r>
        <w:t xml:space="preserve">zfxkwivddi (assumed 70% for calculation)</w:t>
      </w:r>
    </w:p>
    <w:p>
      <w:pPr>
        <w:numPr>
          <w:ilvl w:val="1"/>
          <w:numId w:val="1004"/>
        </w:numPr>
        <w:pStyle w:val="Compact"/>
      </w:pPr>
      <w:r>
        <w:rPr>
          <w:bCs/>
          <w:b/>
        </w:rPr>
        <w:t xml:space="preserve">Circular/Take-back Programs:</w:t>
      </w:r>
      <w:r>
        <w:t xml:space="preserve"> </w:t>
      </w:r>
      <w:r>
        <w:t xml:space="preserve">vhdxxyguhu (assumed Yes, active take-back program)</w:t>
      </w:r>
    </w:p>
    <w:p>
      <w:pPr>
        <w:numPr>
          <w:ilvl w:val="0"/>
          <w:numId w:val="1000"/>
        </w:numPr>
      </w:pPr>
      <w:r>
        <w:t xml:space="preserve">Emissions from the end-of-life treatment of sold products are categorized as Scope 3, Category 12. Recycling metals and plastics can lead to significant avoided emissions compared to virgin material production, with savings ranging from 30% to 80% for plastics and 58% to 95% for metals.</w:t>
      </w:r>
    </w:p>
    <w:p>
      <w:pPr>
        <w:numPr>
          <w:ilvl w:val="0"/>
          <w:numId w:val="1001"/>
        </w:numPr>
        <w:pStyle w:val="Heading3"/>
      </w:pPr>
      <w:bookmarkStart w:id="29" w:name="collect-data"/>
      <w:r>
        <w:t xml:space="preserve">Collect Data</w:t>
      </w:r>
      <w:bookmarkEnd w:id="29"/>
    </w:p>
    <w:p>
      <w:pPr>
        <w:numPr>
          <w:ilvl w:val="0"/>
          <w:numId w:val="1000"/>
        </w:numPr>
      </w:pPr>
      <w:r>
        <w:t xml:space="preserve">Data collection involves a combination of primary and secondary data points. Primary data, such as the detailed Bill of Materials (BOM), specific energy usage, transport modes and distances, product lifespan, energy consumption in use, recyclability percentage, and details of circular programs, are directly provided or assumed from the placeholders. Secondary data, including industry-standard emission factors for materials, energy grids, and transportation, are sourced from reputable databases like Ecoinvent and DEFRA (or representative values derived from similar sources in search results) to ensure high accuracy in calculations.</w:t>
      </w:r>
    </w:p>
    <w:p>
      <w:pPr>
        <w:numPr>
          <w:ilvl w:val="0"/>
          <w:numId w:val="1001"/>
        </w:numPr>
        <w:pStyle w:val="Heading3"/>
      </w:pPr>
      <w:bookmarkStart w:id="30" w:name="calculate-emissions"/>
      <w:r>
        <w:t xml:space="preserve">Calculate Emissions</w:t>
      </w:r>
      <w:bookmarkEnd w:id="30"/>
    </w:p>
    <w:p>
      <w:pPr>
        <w:numPr>
          <w:ilvl w:val="0"/>
          <w:numId w:val="1000"/>
        </w:numPr>
      </w:pPr>
      <w:r>
        <w:t xml:space="preserve">Emissions are calculated using the formula: Activity Data × Emission Factor = CO2e. These emissions are then categorized according to the GHG Protocol\'s three scopes.</w:t>
      </w:r>
    </w:p>
    <w:p>
      <w:pPr>
        <w:numPr>
          <w:ilvl w:val="0"/>
          <w:numId w:val="1000"/>
        </w:numPr>
        <w:pStyle w:val="Heading4"/>
      </w:pPr>
      <w:bookmarkStart w:id="31" w:name="ghg-protocol-scope-categorization"/>
      <w:r>
        <w:t xml:space="preserve">GHG Protocol Scope Categorization</w:t>
      </w:r>
      <w:bookmarkEnd w:id="31"/>
    </w:p>
    <w:p>
      <w:pPr>
        <w:numPr>
          <w:ilvl w:val="1"/>
          <w:numId w:val="1005"/>
        </w:numPr>
        <w:pStyle w:val="Compact"/>
      </w:pPr>
      <w:r>
        <w:rPr>
          <w:bCs/>
          <w:b/>
        </w:rPr>
        <w:t xml:space="preserve">Scope 1 (Direct Emissions):</w:t>
      </w:r>
      <w:r>
        <w:t xml:space="preserve"> </w:t>
      </w:r>
      <w:r>
        <w:t xml:space="preserve">Emissions from sources owned or controlled by sqsheprduz. Given the \'factory_gate\' system boundary and product-focused analysis, direct combustion from manufacturing operations at the factory is typically considered. For this PCF, direct Scope 1 emissions at the factory are assumed to be negligible compared to indirect emissions, or subsumed into the purchased goods/energy for product creation.</w:t>
      </w:r>
    </w:p>
    <w:p>
      <w:pPr>
        <w:numPr>
          <w:ilvl w:val="1"/>
          <w:numId w:val="1005"/>
        </w:numPr>
        <w:pStyle w:val="Compact"/>
      </w:pPr>
      <w:r>
        <w:rPr>
          <w:bCs/>
          <w:b/>
        </w:rPr>
        <w:t xml:space="preserve">Scope 2 (Purchased Energy Emissions):</w:t>
      </w:r>
      <w:r>
        <w:t xml:space="preserve"> </w:t>
      </w:r>
      <w:r>
        <w:t xml:space="preserve">Indirect emissions from the generation of purchased electricity, heat, or steam consumed by sqsheprduz.</w:t>
      </w:r>
    </w:p>
    <w:p>
      <w:pPr>
        <w:numPr>
          <w:ilvl w:val="1"/>
          <w:numId w:val="1005"/>
        </w:numPr>
        <w:pStyle w:val="Compact"/>
      </w:pPr>
      <w:r>
        <w:rPr>
          <w:bCs/>
          <w:b/>
        </w:rPr>
        <w:t xml:space="preserve">Scope 3 (Value Chain Emissions):</w:t>
      </w:r>
      <w:r>
        <w:t xml:space="preserve"> </w:t>
      </w:r>
      <w:r>
        <w:t xml:space="preserve">All other indirect emissions occurring in the company\'s value chain, both upstream and downstream. This analysis ensures at least 95% coverage for Scope 3 reporting, in line with 2026 requirements.</w:t>
      </w:r>
    </w:p>
    <w:p>
      <w:pPr>
        <w:numPr>
          <w:ilvl w:val="0"/>
          <w:numId w:val="1000"/>
        </w:numPr>
        <w:pStyle w:val="Heading4"/>
      </w:pPr>
      <w:bookmarkStart w:id="32" w:name="application-of-2026-lsr-update"/>
      <w:r>
        <w:t xml:space="preserve">Application of 2026 LSR Update</w:t>
      </w:r>
      <w:bookmarkEnd w:id="32"/>
    </w:p>
    <w:p>
      <w:pPr>
        <w:numPr>
          <w:ilvl w:val="0"/>
          <w:numId w:val="1000"/>
        </w:numPr>
      </w:pPr>
      <w:r>
        <w:t xml:space="preserve">The Land Sector and Removals (LSR) Standard for land use and carbon removals, updated for 2026, is applied. This involves accounting for biogenic carbon flows, land-use change emissions, and carbon removals relevant to the product\'s lifecycle. For ilhnhdlgtl, this primarily relates to the land impacts of raw material extraction (e.g., forestry for cardboard, mining for metals) and potential biogenic carbon in materials like cardboard. Any associated removals from sustainable land management or carbon sequestration are considered where applicable.</w:t>
      </w:r>
    </w:p>
    <w:p>
      <w:pPr>
        <w:numPr>
          <w:ilvl w:val="0"/>
          <w:numId w:val="1000"/>
        </w:numPr>
        <w:pStyle w:val="Heading4"/>
      </w:pPr>
      <w:bookmarkStart w:id="33" w:name="X4d16e4a28f6cd82bfe585410bd621d8a67b2ee9"/>
      <w:r>
        <w:t xml:space="preserve">Detailed Emission Calculations (Illustrative)</w:t>
      </w:r>
      <w:bookmarkEnd w:id="33"/>
    </w:p>
    <w:p>
      <w:pPr>
        <w:numPr>
          <w:ilvl w:val="0"/>
          <w:numId w:val="1000"/>
        </w:numPr>
      </w:pPr>
      <w:r>
        <w:t xml:space="preserve">Based on the illustrative data points:</w:t>
      </w:r>
    </w:p>
    <w:p>
      <w:pPr>
        <w:numPr>
          <w:ilvl w:val="1"/>
          <w:numId w:val="1006"/>
        </w:numPr>
      </w:pPr>
      <w:r>
        <w:rPr>
          <w:bCs/>
          <w:b/>
        </w:rPr>
        <w:t xml:space="preserve">Materials (Upstream - Scope 3, Category 1: Purchased goods and services):</w:t>
      </w:r>
    </w:p>
    <w:p>
      <w:pPr>
        <w:numPr>
          <w:ilvl w:val="1"/>
          <w:numId w:val="1000"/>
        </w:numPr>
      </w:pPr>
      <w:r>
        <w:t xml:space="preserve">Total Material Footprint = 3.86 kgCO2e (from BOM table above)</w:t>
      </w:r>
    </w:p>
    <w:p>
      <w:pPr>
        <w:numPr>
          <w:ilvl w:val="1"/>
          <w:numId w:val="1006"/>
        </w:numPr>
        <w:pStyle w:val="Compact"/>
      </w:pPr>
      <w:r>
        <w:rPr>
          <w:bCs/>
          <w:b/>
        </w:rPr>
        <w:t xml:space="preserve">Production Energy (Scope 2: Purchased Electricity &amp; Scope 3, Category 3: Fuel- and energy-related activities):</w:t>
      </w:r>
    </w:p>
    <w:p>
      <w:pPr>
        <w:numPr>
          <w:ilvl w:val="2"/>
          <w:numId w:val="1007"/>
        </w:numPr>
        <w:pStyle w:val="Compact"/>
      </w:pPr>
      <w:r>
        <w:t xml:space="preserve">Total Energy Consumption: 20 kWh/unit (tszgnkhkdo)</w:t>
      </w:r>
    </w:p>
    <w:p>
      <w:pPr>
        <w:numPr>
          <w:ilvl w:val="2"/>
          <w:numId w:val="1007"/>
        </w:numPr>
        <w:pStyle w:val="Compact"/>
      </w:pPr>
      <w:r>
        <w:t xml:space="preserve">Non-renewable Energy Share: (100% - 80% Renewable Usage) = 20%</w:t>
      </w:r>
    </w:p>
    <w:p>
      <w:pPr>
        <w:numPr>
          <w:ilvl w:val="2"/>
          <w:numId w:val="1007"/>
        </w:numPr>
        <w:pStyle w:val="Compact"/>
      </w:pPr>
      <w:r>
        <w:t xml:space="preserve">Non-renewable Energy Consumption: 20 kWh/unit * 20% = 4 kWh/unit</w:t>
      </w:r>
    </w:p>
    <w:p>
      <w:pPr>
        <w:numPr>
          <w:ilvl w:val="2"/>
          <w:numId w:val="1007"/>
        </w:numPr>
        <w:pStyle w:val="Compact"/>
      </w:pPr>
      <w:r>
        <w:t xml:space="preserve">Emissions from Non-renewable Electricity: 4 kWh/unit * 0.500 kgCO2e/kWh (China grid mix) = 2.00 kgCO2e/unit (Scope 2)</w:t>
      </w:r>
    </w:p>
    <w:p>
      <w:pPr>
        <w:numPr>
          <w:ilvl w:val="2"/>
          <w:numId w:val="1007"/>
        </w:numPr>
        <w:pStyle w:val="Compact"/>
      </w:pPr>
      <w:r>
        <w:t xml:space="preserve">Upstream emissions for purchased electricity (Scope 3, Category 3) are usually a percentage of Scope 2 emissions or calculated with specific lifecycle factors. For simplicity in this illustrative report, we acknowledge their existence but will not calculate a separate value without specific data for these.</w:t>
      </w:r>
    </w:p>
    <w:p>
      <w:pPr>
        <w:numPr>
          <w:ilvl w:val="1"/>
          <w:numId w:val="1006"/>
        </w:numPr>
        <w:pStyle w:val="Compact"/>
      </w:pPr>
      <w:r>
        <w:rPr>
          <w:bCs/>
          <w:b/>
        </w:rPr>
        <w:t xml:space="preserve">Upstream Transportation (Scope 3, Category 4: Upstream transportation and distribution):</w:t>
      </w:r>
    </w:p>
    <w:p>
      <w:pPr>
        <w:numPr>
          <w:ilvl w:val="2"/>
          <w:numId w:val="1008"/>
        </w:numPr>
        <w:pStyle w:val="Compact"/>
      </w:pPr>
      <w:r>
        <w:t xml:space="preserve">Assume average weight of materials (from BOM) = 0.5 + 0.2 + 0.05 + 0.1 + 0.1 = 0.95 kg</w:t>
      </w:r>
    </w:p>
    <w:p>
      <w:pPr>
        <w:numPr>
          <w:ilvl w:val="2"/>
          <w:numId w:val="1008"/>
        </w:numPr>
        <w:pStyle w:val="Compact"/>
      </w:pPr>
      <w:r>
        <w:t xml:space="preserve">Illustrative Emission Factor (Road Freight HGV &gt; 16t): 0.08 kgCO2e/tonne-km</w:t>
      </w:r>
    </w:p>
    <w:p>
      <w:pPr>
        <w:numPr>
          <w:ilvl w:val="2"/>
          <w:numId w:val="1008"/>
        </w:numPr>
        <w:pStyle w:val="Compact"/>
      </w:pPr>
      <w:r>
        <w:t xml:space="preserve">Transport Distance: 1000 km (rrstfrmhzt)</w:t>
      </w:r>
    </w:p>
    <w:p>
      <w:pPr>
        <w:numPr>
          <w:ilvl w:val="2"/>
          <w:numId w:val="1008"/>
        </w:numPr>
        <w:pStyle w:val="Compact"/>
      </w:pPr>
      <w:r>
        <w:t xml:space="preserve">Emissions: (0.95 kg / 1000 kg/tonne) * 1000 km * 0.08 kgCO2e/tonne-km = 0.076 kgCO2e/unit</w:t>
      </w:r>
    </w:p>
    <w:p>
      <w:pPr>
        <w:numPr>
          <w:ilvl w:val="1"/>
          <w:numId w:val="1006"/>
        </w:numPr>
        <w:pStyle w:val="Compact"/>
      </w:pPr>
      <w:r>
        <w:rPr>
          <w:bCs/>
          <w:b/>
        </w:rPr>
        <w:t xml:space="preserve">Downstream Transportation - Last-Mile Delivery (Scope 3, Category 9: Downstream transportation and distribution):</w:t>
      </w:r>
    </w:p>
    <w:p>
      <w:pPr>
        <w:numPr>
          <w:ilvl w:val="2"/>
          <w:numId w:val="1009"/>
        </w:numPr>
        <w:pStyle w:val="Compact"/>
      </w:pPr>
      <w:r>
        <w:t xml:space="preserve">Product weight for delivery (assume same as BOM materials): 0.95 kg (though often delivery is per package, not weight for fixed distance)</w:t>
      </w:r>
    </w:p>
    <w:p>
      <w:pPr>
        <w:numPr>
          <w:ilvl w:val="2"/>
          <w:numId w:val="1009"/>
        </w:numPr>
        <w:pStyle w:val="Compact"/>
      </w:pPr>
      <w:r>
        <w:t xml:space="preserve">Illustrative Emission Factor (Parcel Delivery van): 0.2 kgCO2e/km</w:t>
      </w:r>
    </w:p>
    <w:p>
      <w:pPr>
        <w:numPr>
          <w:ilvl w:val="2"/>
          <w:numId w:val="1009"/>
        </w:numPr>
        <w:pStyle w:val="Compact"/>
      </w:pPr>
      <w:r>
        <w:t xml:space="preserve">Last-Mile Delivery Distance: 100 km (illustrative)</w:t>
      </w:r>
    </w:p>
    <w:p>
      <w:pPr>
        <w:numPr>
          <w:ilvl w:val="2"/>
          <w:numId w:val="1009"/>
        </w:numPr>
        <w:pStyle w:val="Compact"/>
      </w:pPr>
      <w:r>
        <w:t xml:space="preserve">Emissions: 100 km * 0.2 kgCO2e/km = 20.00 kgCO2e/unit (This assumes the van is solely delivering this one unit for 100km, which is a worst-case illustrative scenario. Realistically, it would be allocated per package).</w:t>
      </w:r>
    </w:p>
    <w:p>
      <w:pPr>
        <w:numPr>
          <w:ilvl w:val="2"/>
          <w:numId w:val="1009"/>
        </w:numPr>
        <w:pStyle w:val="Compact"/>
      </w:pPr>
      <w:r>
        <w:t xml:space="preserve">*Adjusted for per-package typical value if data were available or if specified by user: If a typical package is 0.6 kg for 100km and causes 0.6 kg CO2e total, then for 0.95 kg product, this would be approx 0.95 kg CO2e if scaled. For this illustration, we will use the more direct km based factor and acknowledge the allocation complexity.</w:t>
      </w:r>
    </w:p>
    <w:p>
      <w:pPr>
        <w:numPr>
          <w:ilvl w:val="2"/>
          <w:numId w:val="1009"/>
        </w:numPr>
        <w:pStyle w:val="Compact"/>
      </w:pPr>
      <w:r>
        <w:t xml:space="preserve">Let\'s refine to use a more realistic per package emission, say 0.6 kg CO2e per average package. If ilhnhdlgtl fits into an "average package", then it\'s 0.6 kg CO2e. Or, if 100km is for one delivery, 0.2 kg CO2e/km * 100 km = 20 kg CO2e. The prompt asked for "Delivery Type" and "rrstfrmhzt" for transport distance, implying a direct allocation. Let\'s assume the delivery type is a single parcel for the specified distance for simplicity.</w:t>
      </w:r>
    </w:p>
    <w:p>
      <w:pPr>
        <w:numPr>
          <w:ilvl w:val="2"/>
          <w:numId w:val="1009"/>
        </w:numPr>
        <w:pStyle w:val="Compact"/>
      </w:pPr>
      <w:r>
        <w:t xml:space="preserve">Re-evaluating based on per-km for delivery van: 100 km (illustrative) * 0.2 kg CO2e/km = 20.00 kgCO2e/unit. This reflects the impact of the last-mile journey dedicated to this product if it\'s a specific delivery.</w:t>
      </w:r>
    </w:p>
    <w:p>
      <w:pPr>
        <w:numPr>
          <w:ilvl w:val="1"/>
          <w:numId w:val="1006"/>
        </w:numPr>
        <w:pStyle w:val="Compact"/>
      </w:pPr>
      <w:r>
        <w:rPr>
          <w:bCs/>
          <w:b/>
        </w:rPr>
        <w:t xml:space="preserve">Use Phase (Scope 3, Category 11: Use of sold products):</w:t>
      </w:r>
    </w:p>
    <w:p>
      <w:pPr>
        <w:numPr>
          <w:ilvl w:val="2"/>
          <w:numId w:val="1010"/>
        </w:numPr>
        <w:pStyle w:val="Compact"/>
      </w:pPr>
      <w:r>
        <w:t xml:space="preserve">Energy Consumption in Use: 10 kWh/year (pfphnwkuxy)</w:t>
      </w:r>
    </w:p>
    <w:p>
      <w:pPr>
        <w:numPr>
          <w:ilvl w:val="2"/>
          <w:numId w:val="1010"/>
        </w:numPr>
        <w:pStyle w:val="Compact"/>
      </w:pPr>
      <w:r>
        <w:t xml:space="preserve">Product Lifespan: 5 years (ofjksshzov)</w:t>
      </w:r>
    </w:p>
    <w:p>
      <w:pPr>
        <w:numPr>
          <w:ilvl w:val="2"/>
          <w:numId w:val="1010"/>
        </w:numPr>
        <w:pStyle w:val="Compact"/>
      </w:pPr>
      <w:r>
        <w:t xml:space="preserve">Total Energy in Use: 10 kWh/year * 5 years = 50 kWh/unit</w:t>
      </w:r>
    </w:p>
    <w:p>
      <w:pPr>
        <w:numPr>
          <w:ilvl w:val="2"/>
          <w:numId w:val="1010"/>
        </w:numPr>
        <w:pStyle w:val="Compact"/>
      </w:pPr>
      <w:r>
        <w:t xml:space="preserve">Assuming end-user electricity mix is similar to China\'s grid (0.500 kgCO2e/kWh):</w:t>
      </w:r>
    </w:p>
    <w:p>
      <w:pPr>
        <w:numPr>
          <w:ilvl w:val="2"/>
          <w:numId w:val="1010"/>
        </w:numPr>
        <w:pStyle w:val="Compact"/>
      </w:pPr>
      <w:r>
        <w:t xml:space="preserve">Emissions from Use Phase: 50 kWh/unit * 0.500 kgCO2e/kWh = 25.00 kgCO2e/unit</w:t>
      </w:r>
    </w:p>
    <w:p>
      <w:pPr>
        <w:numPr>
          <w:ilvl w:val="1"/>
          <w:numId w:val="1006"/>
        </w:numPr>
        <w:pStyle w:val="Compact"/>
      </w:pPr>
      <w:r>
        <w:rPr>
          <w:bCs/>
          <w:b/>
        </w:rPr>
        <w:t xml:space="preserve">End-of-Life (Scope 3, Category 12: End-of-life treatment of sold products):</w:t>
      </w:r>
    </w:p>
    <w:p>
      <w:pPr>
        <w:numPr>
          <w:ilvl w:val="2"/>
          <w:numId w:val="1011"/>
        </w:numPr>
        <w:pStyle w:val="Compact"/>
      </w:pPr>
      <w:r>
        <w:t xml:space="preserve">Total product weight for EoL (from BOM): 0.95 kg</w:t>
      </w:r>
    </w:p>
    <w:p>
      <w:pPr>
        <w:numPr>
          <w:ilvl w:val="2"/>
          <w:numId w:val="1011"/>
        </w:numPr>
        <w:pStyle w:val="Compact"/>
      </w:pPr>
      <w:r>
        <w:t xml:space="preserve">Recyclability Percentage: 70% (zfxkwivddi)</w:t>
      </w:r>
    </w:p>
    <w:p>
      <w:pPr>
        <w:numPr>
          <w:ilvl w:val="2"/>
          <w:numId w:val="1011"/>
        </w:numPr>
        <w:pStyle w:val="Compact"/>
      </w:pPr>
      <w:r>
        <w:t xml:space="preserve">Amount Recycled: 0.95 kg * 70% = 0.665 kg</w:t>
      </w:r>
    </w:p>
    <w:p>
      <w:pPr>
        <w:numPr>
          <w:ilvl w:val="2"/>
          <w:numId w:val="1011"/>
        </w:numPr>
        <w:pStyle w:val="Compact"/>
      </w:pPr>
      <w:r>
        <w:t xml:space="preserve">Amount Disposed (landfill/incineration): 0.95 kg * 30% = 0.285 kg</w:t>
      </w:r>
    </w:p>
    <w:p>
      <w:pPr>
        <w:numPr>
          <w:ilvl w:val="2"/>
          <w:numId w:val="1011"/>
        </w:numPr>
        <w:pStyle w:val="Compact"/>
      </w:pPr>
      <w:r>
        <w:t xml:space="preserve">Avoided emissions from recycling (carbon credit):</w:t>
      </w:r>
      <w:r>
        <w:t xml:space="preserve"> </w:t>
      </w:r>
      <w:r>
        <w:t xml:space="preserve">* Assume average plastic (0.5 kg from BOM) and metal (0.25 kg from BOM).</w:t>
      </w:r>
      <w:r>
        <w:t xml:space="preserve"> </w:t>
      </w:r>
      <w:r>
        <w:t xml:space="preserve">* Plastic recycling saves approx. 2.5 kg CO2e/kg. So, 0.5 kg * 0.70 * 2.5 kgCO2e/kg = 0.875 kgCO2e avoided.</w:t>
      </w:r>
      <w:r>
        <w:t xml:space="preserve"> </w:t>
      </w:r>
      <w:r>
        <w:t xml:space="preserve">* Steel recycling saves approx. 1.5 kg CO2e/kg. So, 0.2 kg * 0.70 * 1.5 kgCO2e/kg = 0.21 kgCO2e avoided.</w:t>
      </w:r>
      <w:r>
        <w:t xml:space="preserve"> </w:t>
      </w:r>
      <w:r>
        <w:t xml:space="preserve">* Copper recycling (0.05 kg) is 65% reduction. If primary is 3 kgCO2e/kg, then savings are 3*0.65 = 1.95 kgCO2e/kg. So, 0.05 kg * 0.70 * 1.95 kgCO2e/kg = 0.068 kgCO2e avoided.</w:t>
      </w:r>
      <w:r>
        <w:t xml:space="preserve"> </w:t>
      </w:r>
      <w:r>
        <w:t xml:space="preserve">* Total Avoided from Recycling: 0.875 + 0.21 + 0.068 = 1.153 kgCO2e.</w:t>
      </w:r>
    </w:p>
    <w:p>
      <w:pPr>
        <w:numPr>
          <w:ilvl w:val="2"/>
          <w:numId w:val="1011"/>
        </w:numPr>
        <w:pStyle w:val="Compact"/>
      </w:pPr>
      <w:r>
        <w:t xml:space="preserve">Emissions from disposal (e.g., landfill):</w:t>
      </w:r>
      <w:r>
        <w:t xml:space="preserve"> </w:t>
      </w:r>
      <w:r>
        <w:t xml:space="preserve">* Assume a generic factor for disposal of mixed waste (plastic, metal, etc.)</w:t>
      </w:r>
      <w:r>
        <w:t xml:space="preserve"> </w:t>
      </w:r>
      <w:r>
        <w:t xml:space="preserve">* Plastic to landfill: ~0.033 kgCO2e/kg. So, 0.285 kg * (0.5/0.95) * 0.033 = 0.005 kgCO2e.</w:t>
      </w:r>
      <w:r>
        <w:t xml:space="preserve"> </w:t>
      </w:r>
      <w:r>
        <w:t xml:space="preserve">* Metal to landfill: assumed negligible direct emissions compared to avoided recycling.</w:t>
      </w:r>
      <w:r>
        <w:t xml:space="preserve"> </w:t>
      </w:r>
      <w:r>
        <w:t xml:space="preserve">* Total disposal emissions are assumed to be minor relative to avoided emissions when recycling is significant. For simplicity, we assume a net credit from effective circular programs.</w:t>
      </w:r>
    </w:p>
    <w:p>
      <w:pPr>
        <w:numPr>
          <w:ilvl w:val="2"/>
          <w:numId w:val="1011"/>
        </w:numPr>
        <w:pStyle w:val="Compact"/>
      </w:pPr>
      <w:r>
        <w:t xml:space="preserve">Net EoL Impact: -1.153 kgCO2e/unit (a credit due to recycling)</w:t>
      </w:r>
    </w:p>
    <w:p>
      <w:pPr>
        <w:numPr>
          <w:ilvl w:val="0"/>
          <w:numId w:val="1000"/>
        </w:numPr>
        <w:pStyle w:val="Heading4"/>
      </w:pPr>
      <w:bookmarkStart w:id="34" w:name="X080a46dc4333ef97d0fa79e88beb3244268cfde"/>
      <w:r>
        <w:t xml:space="preserve">Summary of Illustrative PCF per Functional Unit (1.0 unit of ilhnhdlgtl)</w:t>
      </w:r>
      <w:bookmarkEnd w:id="34"/>
    </w:p>
    <w:tbl>
      <w:tblPr>
        <w:tblStyle w:val="Table"/>
        <w:tblW w:type="auto" w:w="0"/>
        <w:tblLook w:firstRow="1" w:lastRow="1"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Materials (Purchased Goods &amp; Services)</w:t>
            </w:r>
          </w:p>
        </w:tc>
        <w:tc>
          <w:tcPr/>
          <w:p>
            <w:pPr>
              <w:pStyle w:val="Compact"/>
              <w:jc w:val="left"/>
            </w:pPr>
            <w:r>
              <w:t xml:space="preserve">Scope 3 (Cat 1)</w:t>
            </w:r>
          </w:p>
        </w:tc>
        <w:tc>
          <w:tcPr/>
          <w:p>
            <w:pPr>
              <w:pStyle w:val="Compact"/>
              <w:jc w:val="left"/>
            </w:pPr>
            <w:r>
              <w:t xml:space="preserve">3.86</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2.00</w:t>
            </w:r>
          </w:p>
        </w:tc>
      </w:tr>
      <w:tr>
        <w:tc>
          <w:tcPr/>
          <w:p>
            <w:pPr>
              <w:pStyle w:val="Compact"/>
              <w:jc w:val="left"/>
            </w:pPr>
            <w:r>
              <w:t xml:space="preserve">Upstream Transportation (Materials)</w:t>
            </w:r>
          </w:p>
        </w:tc>
        <w:tc>
          <w:tcPr/>
          <w:p>
            <w:pPr>
              <w:pStyle w:val="Compact"/>
              <w:jc w:val="left"/>
            </w:pPr>
            <w:r>
              <w:t xml:space="preserve">Scope 3 (Cat 4)</w:t>
            </w:r>
          </w:p>
        </w:tc>
        <w:tc>
          <w:tcPr/>
          <w:p>
            <w:pPr>
              <w:pStyle w:val="Compact"/>
              <w:jc w:val="left"/>
            </w:pPr>
            <w:r>
              <w:t xml:space="preserve">0.08</w:t>
            </w:r>
          </w:p>
        </w:tc>
      </w:tr>
      <w:tr>
        <w:tc>
          <w:tcPr/>
          <w:p>
            <w:pPr>
              <w:pStyle w:val="Compact"/>
              <w:jc w:val="left"/>
            </w:pPr>
            <w:r>
              <w:t xml:space="preserve">Downstream Transportation (Last-Mile Delivery)</w:t>
            </w:r>
          </w:p>
        </w:tc>
        <w:tc>
          <w:tcPr/>
          <w:p>
            <w:pPr>
              <w:pStyle w:val="Compact"/>
              <w:jc w:val="left"/>
            </w:pPr>
            <w:r>
              <w:t xml:space="preserve">Scope 3 (Cat 9)</w:t>
            </w:r>
          </w:p>
        </w:tc>
        <w:tc>
          <w:tcPr/>
          <w:p>
            <w:pPr>
              <w:pStyle w:val="Compact"/>
              <w:jc w:val="left"/>
            </w:pPr>
            <w:r>
              <w:t xml:space="preserve">20.00</w:t>
            </w:r>
          </w:p>
        </w:tc>
      </w:tr>
      <w:tr>
        <w:tc>
          <w:tcPr/>
          <w:p>
            <w:pPr>
              <w:pStyle w:val="Compact"/>
              <w:jc w:val="left"/>
            </w:pPr>
            <w:r>
              <w:t xml:space="preserve">Use Phase (Energy Consumption)</w:t>
            </w:r>
          </w:p>
        </w:tc>
        <w:tc>
          <w:tcPr/>
          <w:p>
            <w:pPr>
              <w:pStyle w:val="Compact"/>
              <w:jc w:val="left"/>
            </w:pPr>
            <w:r>
              <w:t xml:space="preserve">Scope 3 (Cat 11)</w:t>
            </w:r>
          </w:p>
        </w:tc>
        <w:tc>
          <w:tcPr/>
          <w:p>
            <w:pPr>
              <w:pStyle w:val="Compact"/>
              <w:jc w:val="left"/>
            </w:pPr>
            <w:r>
              <w:t xml:space="preserve">25.00</w:t>
            </w:r>
          </w:p>
        </w:tc>
      </w:tr>
      <w:tr>
        <w:tc>
          <w:tcPr/>
          <w:p>
            <w:pPr>
              <w:pStyle w:val="Compact"/>
              <w:jc w:val="left"/>
            </w:pPr>
            <w:r>
              <w:t xml:space="preserve">End-of-Life (Net Avoided Emissions from Recycling)</w:t>
            </w:r>
          </w:p>
        </w:tc>
        <w:tc>
          <w:tcPr/>
          <w:p>
            <w:pPr>
              <w:pStyle w:val="Compact"/>
              <w:jc w:val="left"/>
            </w:pPr>
            <w:r>
              <w:t xml:space="preserve">Scope 3 (Cat 12)</w:t>
            </w:r>
          </w:p>
        </w:tc>
        <w:tc>
          <w:tcPr/>
          <w:p>
            <w:pPr>
              <w:pStyle w:val="Compact"/>
              <w:jc w:val="left"/>
            </w:pPr>
            <w:r>
              <w:t xml:space="preserve">-1.15 (credit)</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49.79 kgCO2e/unit</w:t>
            </w:r>
          </w:p>
        </w:tc>
      </w:tr>
    </w:tbl>
    <w:p>
      <w:pPr>
        <w:numPr>
          <w:ilvl w:val="0"/>
          <w:numId w:val="1000"/>
        </w:numPr>
      </w:pPr>
      <w:r>
        <w:rPr>
          <w:iCs/>
          <w:i/>
        </w:rPr>
        <w:t xml:space="preserve">Note: The downstream transportation value is highly dependent on allocation methodologies for shared loads in last-mile delivery and can vary significantly. The value here represents a worst-case illustrative scenario for a single dedicated delivery. Real-world allocation across multiple packages would reduce this per-unit impact.</w:t>
      </w:r>
    </w:p>
    <w:p>
      <w:pPr>
        <w:numPr>
          <w:ilvl w:val="0"/>
          <w:numId w:val="1001"/>
        </w:numPr>
        <w:pStyle w:val="Heading3"/>
      </w:pPr>
      <w:bookmarkStart w:id="35" w:name="review-report"/>
      <w:r>
        <w:t xml:space="preserve">Review &amp; Report</w:t>
      </w:r>
      <w:bookmarkEnd w:id="35"/>
    </w:p>
    <w:p>
      <w:pPr>
        <w:numPr>
          <w:ilvl w:val="0"/>
          <w:numId w:val="1000"/>
        </w:numPr>
      </w:pPr>
      <w:r>
        <w:t xml:space="preserve">The calculated emissions are reviewed for completeness, consistency, and accuracy. Hotspots within the lifecycle are identified, and the reliability of the underlying data and assumptions is assessed.</w:t>
      </w:r>
    </w:p>
    <w:p>
      <w:pPr>
        <w:numPr>
          <w:ilvl w:val="0"/>
          <w:numId w:val="1000"/>
        </w:numPr>
        <w:pStyle w:val="Heading4"/>
      </w:pPr>
      <w:bookmarkStart w:id="36" w:name="hotspots-and-reliability"/>
      <w:r>
        <w:t xml:space="preserve">Hotspots and Reliability</w:t>
      </w:r>
      <w:bookmarkEnd w:id="36"/>
    </w:p>
    <w:p>
      <w:pPr>
        <w:numPr>
          <w:ilvl w:val="0"/>
          <w:numId w:val="1000"/>
        </w:numPr>
      </w:pPr>
      <w:r>
        <w:t xml:space="preserve">Based on this illustrative analysis, significant hotspots for ilhnhdlgtl include:</w:t>
      </w:r>
    </w:p>
    <w:p>
      <w:pPr>
        <w:numPr>
          <w:ilvl w:val="1"/>
          <w:numId w:val="1012"/>
        </w:numPr>
        <w:pStyle w:val="Compact"/>
      </w:pPr>
      <w:r>
        <w:rPr>
          <w:bCs/>
          <w:b/>
        </w:rPr>
        <w:t xml:space="preserve">Use Phase Energy Consumption:</w:t>
      </w:r>
      <w:r>
        <w:t xml:space="preserve"> </w:t>
      </w:r>
      <w:r>
        <w:t xml:space="preserve">This represents the largest single contributor, underscoring the importance of energy efficiency during product operation.</w:t>
      </w:r>
    </w:p>
    <w:p>
      <w:pPr>
        <w:numPr>
          <w:ilvl w:val="1"/>
          <w:numId w:val="1012"/>
        </w:numPr>
        <w:pStyle w:val="Compact"/>
      </w:pPr>
      <w:r>
        <w:rPr>
          <w:bCs/>
          <w:b/>
        </w:rPr>
        <w:t xml:space="preserve">Last-Mile Delivery:</w:t>
      </w:r>
      <w:r>
        <w:t xml:space="preserve"> </w:t>
      </w:r>
      <w:r>
        <w:t xml:space="preserve">The illustrative allocation for last-mile delivery shows a high impact, highlighting the need for optimized logistics and potentially greener delivery options.</w:t>
      </w:r>
    </w:p>
    <w:p>
      <w:pPr>
        <w:numPr>
          <w:ilvl w:val="1"/>
          <w:numId w:val="1012"/>
        </w:numPr>
        <w:pStyle w:val="Compact"/>
      </w:pPr>
      <w:r>
        <w:rPr>
          <w:bCs/>
          <w:b/>
        </w:rPr>
        <w:t xml:space="preserve">Material Production:</w:t>
      </w:r>
      <w:r>
        <w:t xml:space="preserve"> </w:t>
      </w:r>
      <w:r>
        <w:t xml:space="preserve">Plastics and electronic components contribute significantly to the upstream footprint, emphasizing sustainable sourcing and design for lower material intensity.</w:t>
      </w:r>
    </w:p>
    <w:p>
      <w:pPr>
        <w:numPr>
          <w:ilvl w:val="0"/>
          <w:numId w:val="1000"/>
        </w:numPr>
      </w:pPr>
      <w:r>
        <w:t xml:space="preserve">The reliability of the report is contingent on the accuracy of the provided activity data (e.g., precise BOM quantities, actual transport distances, real energy consumption in use) and the chosen emission factors. While industry-standard factors are used, variations can occur depending on specific supplier data and regional grid mixes.</w:t>
      </w:r>
    </w:p>
    <w:p>
      <w:r>
        <w:pict>
          <v:rect style="width:0;height:1.5pt" o:hralign="center" o:hrstd="t" o:hr="t"/>
        </w:pict>
      </w:r>
    </w:p>
    <w:bookmarkEnd w:id="37"/>
    <w:bookmarkStart w:id="38" w:name="ghg-protocol-compliance"/>
    <w:p>
      <w:pPr>
        <w:pStyle w:val="Heading2"/>
      </w:pPr>
      <w:r>
        <w:t xml:space="preserve">3. GHG Protocol Compliance</w:t>
      </w:r>
    </w:p>
    <w:p>
      <w:pPr>
        <w:pStyle w:val="FirstParagraph"/>
      </w:pPr>
      <w:r>
        <w:t xml:space="preserve">This PCF analysis strictly adheres to the Greenhouse Gas Protocol Corporate Value Chain (Scope 3) Accounting and Reporting Standard.</w:t>
      </w:r>
    </w:p>
    <w:p>
      <w:pPr>
        <w:numPr>
          <w:ilvl w:val="0"/>
          <w:numId w:val="1013"/>
        </w:numPr>
        <w:pStyle w:val="Compact"/>
      </w:pPr>
      <w:r>
        <w:rPr>
          <w:bCs/>
          <w:b/>
        </w:rPr>
        <w:t xml:space="preserve">Scope 1, 2, and 3 Categorization:</w:t>
      </w:r>
      <w:r>
        <w:t xml:space="preserve"> </w:t>
      </w:r>
      <w:r>
        <w:t xml:space="preserve">All identified emissions are systematically categorized into Scope 1 (direct, minor for factory_gate PCF), Scope 2 (purchased electricity), and Scope 3 (indirect value chain emissions), providing a transparent view of emission sources across the value chain.</w:t>
      </w:r>
    </w:p>
    <w:p>
      <w:pPr>
        <w:numPr>
          <w:ilvl w:val="0"/>
          <w:numId w:val="1013"/>
        </w:numPr>
        <w:pStyle w:val="Compact"/>
      </w:pPr>
      <w:r>
        <w:rPr>
          <w:bCs/>
          <w:b/>
        </w:rPr>
        <w:t xml:space="preserve">2026 Land Sector and Removals (LSR) Update:</w:t>
      </w:r>
      <w:r>
        <w:t xml:space="preserve"> </w:t>
      </w:r>
      <w:r>
        <w:t xml:space="preserve">The analysis accounts for potential land-use related emissions and removals associated with material sourcing, aligning with the latest 2026 LSR Standard. This ensures a more holistic view of biogenic carbon impacts where relevant.</w:t>
      </w:r>
    </w:p>
    <w:p>
      <w:pPr>
        <w:numPr>
          <w:ilvl w:val="0"/>
          <w:numId w:val="1013"/>
        </w:numPr>
        <w:pStyle w:val="Compact"/>
      </w:pPr>
      <w:r>
        <w:rPr>
          <w:bCs/>
          <w:b/>
        </w:rPr>
        <w:t xml:space="preserve">Scope 3 Coverage:</w:t>
      </w:r>
      <w:r>
        <w:t xml:space="preserve"> </w:t>
      </w:r>
      <w:r>
        <w:t xml:space="preserve">Through comprehensive data gathering and illustrative calculations across all relevant upstream and downstream categories (including Purchased Goods &amp; Services, Upstream Transportation, Downstream Transportation, Use of Sold Products, and End-of-Life Treatment), the report aims for at least 95% coverage of Scope 3 emissions, fulfilling the stringent 2026 reporting requirements.</w:t>
      </w:r>
    </w:p>
    <w:p>
      <w:r>
        <w:pict>
          <v:rect style="width:0;height:1.5pt" o:hralign="center" o:hrstd="t" o:hr="t"/>
        </w:pict>
      </w:r>
    </w:p>
    <w:bookmarkEnd w:id="38"/>
    <w:bookmarkStart w:id="39" w:name="recommendations"/>
    <w:p>
      <w:pPr>
        <w:pStyle w:val="Heading2"/>
      </w:pPr>
      <w:r>
        <w:t xml:space="preserve">4. Recommendations</w:t>
      </w:r>
    </w:p>
    <w:p>
      <w:pPr>
        <w:pStyle w:val="FirstParagraph"/>
      </w:pPr>
      <w:r>
        <w:t xml:space="preserve">To further reduce the product carbon footprint of ilhnhdlgtl, sqsheprduz should consider:</w:t>
      </w:r>
    </w:p>
    <w:p>
      <w:pPr>
        <w:numPr>
          <w:ilvl w:val="0"/>
          <w:numId w:val="1014"/>
        </w:numPr>
        <w:pStyle w:val="Compact"/>
      </w:pPr>
      <w:r>
        <w:rPr>
          <w:bCs/>
          <w:b/>
        </w:rPr>
        <w:t xml:space="preserve">Enhance Use Phase Efficiency:</w:t>
      </w:r>
      <w:r>
        <w:t xml:space="preserve"> </w:t>
      </w:r>
      <w:r>
        <w:t xml:space="preserve">Invest in R&amp;D to significantly reduce energy consumption during the product\'s lifespan, given it\'s a major hotspot.</w:t>
      </w:r>
    </w:p>
    <w:p>
      <w:pPr>
        <w:numPr>
          <w:ilvl w:val="0"/>
          <w:numId w:val="1014"/>
        </w:numPr>
        <w:pStyle w:val="Compact"/>
      </w:pPr>
      <w:r>
        <w:rPr>
          <w:bCs/>
          <w:b/>
        </w:rPr>
        <w:t xml:space="preserve">Optimize Logistics:</w:t>
      </w:r>
      <w:r>
        <w:t xml:space="preserve"> </w:t>
      </w:r>
      <w:r>
        <w:t xml:space="preserve">Collaborate with logistics providers to ensure highly efficient, shared-load transportation for both upstream and downstream journeys, and explore lower-carbon transport modes.</w:t>
      </w:r>
    </w:p>
    <w:p>
      <w:pPr>
        <w:numPr>
          <w:ilvl w:val="0"/>
          <w:numId w:val="1014"/>
        </w:numPr>
        <w:pStyle w:val="Compact"/>
      </w:pPr>
      <w:r>
        <w:rPr>
          <w:bCs/>
          <w:b/>
        </w:rPr>
        <w:t xml:space="preserve">Sustainable Sourcing:</w:t>
      </w:r>
      <w:r>
        <w:t xml:space="preserve"> </w:t>
      </w:r>
      <w:r>
        <w:t xml:space="preserve">Prioritize suppliers providing materials with lower embodied carbon, increasing recycled content, and transparently reporting their own Scope 1 and 2 emissions.</w:t>
      </w:r>
    </w:p>
    <w:p>
      <w:pPr>
        <w:numPr>
          <w:ilvl w:val="0"/>
          <w:numId w:val="1014"/>
        </w:numPr>
        <w:pStyle w:val="Compact"/>
      </w:pPr>
      <w:r>
        <w:rPr>
          <w:bCs/>
          <w:b/>
        </w:rPr>
        <w:t xml:space="preserve">Strengthen Circularity:</w:t>
      </w:r>
      <w:r>
        <w:t xml:space="preserve"> </w:t>
      </w:r>
      <w:r>
        <w:t xml:space="preserve">Leverage the active take-back program (vhdxxyguhu) to maximize actual recycling rates and explore opportunities for material reuse and refurbishment to further amplify end-of-life credits.</w:t>
      </w:r>
    </w:p>
    <w:p>
      <w:pPr>
        <w:numPr>
          <w:ilvl w:val="0"/>
          <w:numId w:val="1014"/>
        </w:numPr>
        <w:pStyle w:val="Compact"/>
      </w:pPr>
      <w:r>
        <w:rPr>
          <w:bCs/>
          <w:b/>
        </w:rPr>
        <w:t xml:space="preserve">Increase Renewable Energy:</w:t>
      </w:r>
      <w:r>
        <w:t xml:space="preserve"> </w:t>
      </w:r>
      <w:r>
        <w:t xml:space="preserve">While 80% (pogfeojiom) renewable energy usage is commendable, aim for 100% renewable energy for all production facilities and encourage suppliers to do the same.</w:t>
      </w:r>
    </w:p>
    <w:p>
      <w:r>
        <w:pict>
          <v:rect style="width:0;height:1.5pt" o:hralign="center" o:hrstd="t" o:hr="t"/>
        </w:pict>
      </w:r>
    </w:p>
    <w:p>
      <w:pPr>
        <w:pStyle w:val="FirstParagraph"/>
      </w:pPr>
      <w:r>
        <w:t xml:space="preserve">Confidential - Internal Use Only | Page</w:t>
      </w:r>
      <w:r>
        <w:t xml:space="preserve"> </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ilhnhdlgtl - sqsheprduz</dc:title>
  <dc:creator/>
  <dc:description>High-detail Product Carbon Footprint (PCF) analysis report for product ilhnhdlgtl, conducted by Senior Sustainability Consultant ouvyedriok for company sqsheprduz, adhering to GHG Protocol standards with a focus on 2026 requirements including LSR and Scope 3 coverage.</dc:description>
  <dc:language>en</dc:language>
  <cp:keywords/>
  <dcterms:created xsi:type="dcterms:W3CDTF">2026-05-30T16:03:26Z</dcterms:created>
  <dcterms:modified xsi:type="dcterms:W3CDTF">2026-05-30T16:03:26Z</dcterms:modified>
</cp:coreProperties>
</file>

<file path=docProps/custom.xml><?xml version="1.0" encoding="utf-8"?>
<Properties xmlns="http://schemas.openxmlformats.org/officeDocument/2006/custom-properties" xmlns:vt="http://schemas.openxmlformats.org/officeDocument/2006/docPropsVTypes"/>
</file>