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iixsgfjppo</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iixsgfjppo</w:t>
      </w:r>
    </w:p>
    <w:p>
      <w:pPr>
        <w:pStyle w:val="BodyText"/>
      </w:pPr>
      <w:r>
        <w:rPr>
          <w:bCs/>
          <w:b/>
        </w:rPr>
        <w:t xml:space="preserve">Company Name:</w:t>
      </w:r>
      <w:r>
        <w:t xml:space="preserve"> </w:t>
      </w:r>
      <w:r>
        <w:t xml:space="preserve">rtugntwezm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qgekmurzxv</w:t>
      </w:r>
    </w:p>
    <w:p>
      <w:pPr>
        <w:pStyle w:val="BodyText"/>
      </w:pPr>
      <w:r>
        <w:t xml:space="preserve">Disclaimer: This report is generated based on available data and industry standards.</w:t>
      </w:r>
      <w:r>
        <w:t xml:space="preserve"> </w:t>
      </w:r>
      <w:r>
        <w:t xml:space="preserve">The accuracy of the results depends on the completeness and precision of the provided input parameters and chosen emission factors.</w:t>
      </w:r>
    </w:p>
    <w:bookmarkEnd w:id="20"/>
    <w:p>
      <w:pPr>
        <w:pStyle w:val="BodyText"/>
      </w:pPr>
      <w:r>
        <w:t xml:space="preserve">Generated Date: June 4,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iixsgfjppo</w:t>
      </w:r>
      <w:r>
        <w:t xml:space="preserve">, manufactured by</w:t>
      </w:r>
      <w:r>
        <w:t xml:space="preserve"> </w:t>
      </w:r>
      <w:r>
        <w:rPr>
          <w:bCs/>
          <w:b/>
        </w:rPr>
        <w:t xml:space="preserve">rtugntwezm</w:t>
      </w:r>
      <w:r>
        <w:t xml:space="preserve">.</w:t>
      </w:r>
      <w:r>
        <w:t xml:space="preserve"> </w:t>
      </w:r>
      <w:r>
        <w:t xml:space="preserve">The analysis was conducted by</w:t>
      </w:r>
      <w:r>
        <w:t xml:space="preserve"> </w:t>
      </w:r>
      <w:r>
        <w:rPr>
          <w:bCs/>
          <w:b/>
        </w:rPr>
        <w:t xml:space="preserve">qgekmurzxv</w:t>
      </w:r>
      <w:r>
        <w:t xml:space="preserve">, Senior Sustainability Consultant, in accordance with the GHG Protocol standards.</w:t>
      </w:r>
      <w:r>
        <w:t xml:space="preserve"> </w:t>
      </w:r>
      <w:r>
        <w:t xml:space="preserve">The primary objective is to quantify the greenhouse gas (GHG) emissions associated with the product\'s lifecycle, identify key emission hotspots,</w:t>
      </w:r>
      <w:r>
        <w:t xml:space="preserve"> </w:t>
      </w:r>
      <w:r>
        <w:t xml:space="preserve">and provide a baseline for future emission reduction strategies. The methodology strictly adheres to the GHG Protocol\'s</w:t>
      </w:r>
      <w:r>
        <w:t xml:space="preserve"> </w:t>
      </w:r>
      <w:r>
        <w:t xml:space="preserve">classification of emissions into Scope 1 (direct), Scope 2 (purchased energy), and Scope 3 (value chain).</w:t>
      </w:r>
      <w:r>
        <w:t xml:space="preserve"> </w:t>
      </w:r>
      <w:r>
        <w:t xml:space="preserve">Emphasis has been placed on incorporating the latest 2026 updates, including the Land Sector and Removals (LSR) Standard</w:t>
      </w:r>
      <w:r>
        <w:t xml:space="preserve"> </w:t>
      </w:r>
      <w:r>
        <w:t xml:space="preserve">and ensuring at least 95% coverage for Scope 3 reporting.</w:t>
      </w:r>
    </w:p>
    <w:p>
      <w:r>
        <w:pict>
          <v:rect style="width:0;height:1.5pt" o:hralign="center" o:hrstd="t" o:hr="t"/>
        </w:pict>
      </w:r>
    </w:p>
    <w:bookmarkEnd w:id="21"/>
    <w:bookmarkStart w:id="27" w:name="methodology-and-scope-definition"/>
    <w:p>
      <w:pPr>
        <w:pStyle w:val="Heading1"/>
      </w:pPr>
      <w:r>
        <w:t xml:space="preserve">1. Methodology and Scope Definition</w:t>
      </w:r>
    </w:p>
    <w:p>
      <w:pPr>
        <w:pStyle w:val="FirstParagraph"/>
      </w:pPr>
      <w:r>
        <w:t xml:space="preserve">The Product Carbon Footprint (PCF) analysis for iixsgfjppo follows a structured five-step methodology as prescribed by leading standards,</w:t>
      </w:r>
      <w:r>
        <w:t xml:space="preserve"> </w:t>
      </w:r>
      <w:r>
        <w:t xml:space="preserve">including the GHG Protocol.</w:t>
      </w:r>
    </w:p>
    <w:bookmarkStart w:id="22" w:name="defined-scope"/>
    <w:p>
      <w:pPr>
        <w:pStyle w:val="Heading2"/>
      </w:pPr>
      <w:r>
        <w:t xml:space="preserve">1.1. Defined Scope</w:t>
      </w:r>
    </w:p>
    <w:p>
      <w:pPr>
        <w:numPr>
          <w:ilvl w:val="0"/>
          <w:numId w:val="1001"/>
        </w:numPr>
        <w:pStyle w:val="Compact"/>
      </w:pPr>
      <w:r>
        <w:rPr>
          <w:bCs/>
          <w:b/>
        </w:rPr>
        <w:t xml:space="preserve">Functional Unit:</w:t>
      </w:r>
      <w:r>
        <w:t xml:space="preserve"> </w:t>
      </w:r>
      <w:r>
        <w:t xml:space="preserve">1.0 unit of iixsgfjppo.</w:t>
      </w:r>
    </w:p>
    <w:p>
      <w:pPr>
        <w:numPr>
          <w:ilvl w:val="0"/>
          <w:numId w:val="1001"/>
        </w:numPr>
        <w:pStyle w:val="Compact"/>
      </w:pPr>
      <w:r>
        <w:rPr>
          <w:bCs/>
          <w:b/>
        </w:rPr>
        <w:t xml:space="preserve">System Boundary:</w:t>
      </w:r>
      <w:r>
        <w:t xml:space="preserve"> </w:t>
      </w:r>
      <w:r>
        <w:t xml:space="preserve">Cradle-to-gate (factory_gate) for manufacturing, with extensions for Use Phase and End-of-Life of the sold product, aligning with a comprehensive product lifecycle perspective as per GHG Protocol Product Standard.</w:t>
      </w:r>
    </w:p>
    <w:p>
      <w:pPr>
        <w:numPr>
          <w:ilvl w:val="0"/>
          <w:numId w:val="1001"/>
        </w:numPr>
        <w:pStyle w:val="Compact"/>
      </w:pPr>
      <w:r>
        <w:rPr>
          <w:bCs/>
          <w:b/>
        </w:rPr>
        <w:t xml:space="preserve">Geographic Scope:</w:t>
      </w:r>
      <w:r>
        <w:t xml:space="preserve"> </w:t>
      </w:r>
      <w:r>
        <w:t xml:space="preserve">Final production occurs in China, with a supply chain focus primarily on Europe for upstream materials. The Use Phase and End-of-Life considerations assume a general global market for product use.</w:t>
      </w:r>
    </w:p>
    <w:p>
      <w:pPr>
        <w:numPr>
          <w:ilvl w:val="0"/>
          <w:numId w:val="1001"/>
        </w:numPr>
        <w:pStyle w:val="Compact"/>
      </w:pPr>
      <w:r>
        <w:rPr>
          <w:bCs/>
          <w:b/>
        </w:rPr>
        <w:t xml:space="preserve">Allocation:</w:t>
      </w:r>
      <w:r>
        <w:t xml:space="preserve"> </w:t>
      </w:r>
      <w:r>
        <w:t xml:space="preserve">Where multi-functionality arises, allocation of environmental burdens is applied based on physical causality where possible, or mass-based for material inputs and economic value for co-products, consistent with ISO 14044 and GHG Protocol guidelines.</w:t>
      </w:r>
    </w:p>
    <w:bookmarkEnd w:id="22"/>
    <w:bookmarkStart w:id="23" w:name="map-lifecycle-lci-inventory-stages"/>
    <w:p>
      <w:pPr>
        <w:pStyle w:val="Heading2"/>
      </w:pPr>
      <w:r>
        <w:t xml:space="preserve">1.2. Map Lifecycle (LCI Inventory Stages)</w:t>
      </w:r>
    </w:p>
    <w:p>
      <w:pPr>
        <w:pStyle w:val="FirstParagraph"/>
      </w:pPr>
      <w:r>
        <w:t xml:space="preserve">The lifecycle stages considered for iixsgfjppo include:</w:t>
      </w:r>
    </w:p>
    <w:p>
      <w:pPr>
        <w:numPr>
          <w:ilvl w:val="0"/>
          <w:numId w:val="1002"/>
        </w:numPr>
        <w:pStyle w:val="Compact"/>
      </w:pPr>
      <w:r>
        <w:rPr>
          <w:bCs/>
          <w:b/>
        </w:rPr>
        <w:t xml:space="preserve">Materials Acquisition &amp; Pre-processing:</w:t>
      </w:r>
      <w:r>
        <w:t xml:space="preserve"> </w:t>
      </w:r>
      <w:r>
        <w:t xml:space="preserve">Extraction, processing, and refining of raw materials (Scope 3, Category 1).</w:t>
      </w:r>
    </w:p>
    <w:p>
      <w:pPr>
        <w:numPr>
          <w:ilvl w:val="0"/>
          <w:numId w:val="1002"/>
        </w:numPr>
        <w:pStyle w:val="Compact"/>
      </w:pPr>
      <w:r>
        <w:rPr>
          <w:bCs/>
          <w:b/>
        </w:rPr>
        <w:t xml:space="preserve">Manufacturing/Production:</w:t>
      </w:r>
      <w:r>
        <w:t xml:space="preserve"> </w:t>
      </w:r>
      <w:r>
        <w:t xml:space="preserve">Energy consumption and direct emissions during the assembly and production of the product at the rtugntwezm facility in China (Scope 1 and Scope 2).</w:t>
      </w:r>
    </w:p>
    <w:p>
      <w:pPr>
        <w:numPr>
          <w:ilvl w:val="0"/>
          <w:numId w:val="1002"/>
        </w:numPr>
        <w:pStyle w:val="Compact"/>
      </w:pPr>
      <w:r>
        <w:rPr>
          <w:bCs/>
          <w:b/>
        </w:rPr>
        <w:t xml:space="preserve">Upstream Transportation &amp; Distribution:</w:t>
      </w:r>
      <w:r>
        <w:t xml:space="preserve"> </w:t>
      </w:r>
      <w:r>
        <w:t xml:space="preserve">Transport of raw materials and components from suppliers (Europe Focused) to the manufacturing facility in China (Scope 3, Category 4).</w:t>
      </w:r>
    </w:p>
    <w:p>
      <w:pPr>
        <w:numPr>
          <w:ilvl w:val="0"/>
          <w:numId w:val="1002"/>
        </w:numPr>
        <w:pStyle w:val="Compact"/>
      </w:pPr>
      <w:r>
        <w:rPr>
          <w:bCs/>
          <w:b/>
        </w:rPr>
        <w:t xml:space="preserve">Downstream Transportation &amp; Distribution:</w:t>
      </w:r>
      <w:r>
        <w:t xml:space="preserve"> </w:t>
      </w:r>
      <w:r>
        <w:t xml:space="preserve">Transport of the finished product from the factory gate to the customer (Last-Mile Delivery) (Scope 3, Category 9).</w:t>
      </w:r>
    </w:p>
    <w:p>
      <w:pPr>
        <w:numPr>
          <w:ilvl w:val="0"/>
          <w:numId w:val="1002"/>
        </w:numPr>
        <w:pStyle w:val="Compact"/>
      </w:pPr>
      <w:r>
        <w:rPr>
          <w:bCs/>
          <w:b/>
        </w:rPr>
        <w:t xml:space="preserve">Use Phase:</w:t>
      </w:r>
      <w:r>
        <w:t xml:space="preserve"> </w:t>
      </w:r>
      <w:r>
        <w:t xml:space="preserve">Energy consumption during the product\'s operational lifespan (Scope 3, Category 11).</w:t>
      </w:r>
    </w:p>
    <w:p>
      <w:pPr>
        <w:numPr>
          <w:ilvl w:val="0"/>
          <w:numId w:val="1002"/>
        </w:numPr>
        <w:pStyle w:val="Compact"/>
      </w:pPr>
      <w:r>
        <w:rPr>
          <w:bCs/>
          <w:b/>
        </w:rPr>
        <w:t xml:space="preserve">End-of-Life (EoL):</w:t>
      </w:r>
      <w:r>
        <w:t xml:space="preserve"> </w:t>
      </w:r>
      <w:r>
        <w:t xml:space="preserve">Disposal or recycling of the product at the end of its useful life (Scope 3, Category 12).</w:t>
      </w:r>
    </w:p>
    <w:bookmarkEnd w:id="23"/>
    <w:bookmarkStart w:id="24" w:name="Xb57f50a89bf1f3f1837369be949d9d60d6c1272"/>
    <w:p>
      <w:pPr>
        <w:pStyle w:val="Heading2"/>
      </w:pPr>
      <w:r>
        <w:t xml:space="preserve">1.3. Collect Data (Primary/Secondary Data Points)</w:t>
      </w:r>
    </w:p>
    <w:p>
      <w:pPr>
        <w:pStyle w:val="FirstParagraph"/>
      </w:pPr>
      <w:r>
        <w:t xml:space="preserve">This analysis integrates both specific operational data and industry-standard emission factors:</w:t>
      </w:r>
    </w:p>
    <w:p>
      <w:pPr>
        <w:numPr>
          <w:ilvl w:val="0"/>
          <w:numId w:val="1003"/>
        </w:numPr>
        <w:pStyle w:val="Compact"/>
      </w:pPr>
      <w:r>
        <w:rPr>
          <w:bCs/>
          <w:b/>
        </w:rPr>
        <w:t xml:space="preserve">Primary Data (Illustrative Placeholder Values):</w:t>
      </w:r>
    </w:p>
    <w:p>
      <w:pPr>
        <w:numPr>
          <w:ilvl w:val="1"/>
          <w:numId w:val="1004"/>
        </w:numPr>
        <w:pStyle w:val="Compact"/>
      </w:pPr>
      <w:r>
        <w:t xml:space="preserve">Detailed Bill of Materials (BOM) for materials impact.</w:t>
      </w:r>
    </w:p>
    <w:p>
      <w:pPr>
        <w:numPr>
          <w:ilvl w:val="1"/>
          <w:numId w:val="1004"/>
        </w:numPr>
        <w:pStyle w:val="Compact"/>
      </w:pPr>
      <w:r>
        <w:t xml:space="preserve">Transport distances and modes for inbound and outbound logistics.</w:t>
      </w:r>
    </w:p>
    <w:p>
      <w:pPr>
        <w:numPr>
          <w:ilvl w:val="1"/>
          <w:numId w:val="1004"/>
        </w:numPr>
        <w:pStyle w:val="Compact"/>
      </w:pPr>
      <w:r>
        <w:t xml:space="preserve">Production energy intensity and renewable energy usage.</w:t>
      </w:r>
    </w:p>
    <w:p>
      <w:pPr>
        <w:numPr>
          <w:ilvl w:val="1"/>
          <w:numId w:val="1004"/>
        </w:numPr>
        <w:pStyle w:val="Compact"/>
      </w:pPr>
      <w:r>
        <w:t xml:space="preserve">Product lifespan and energy consumption during the use phase.</w:t>
      </w:r>
    </w:p>
    <w:p>
      <w:pPr>
        <w:numPr>
          <w:ilvl w:val="1"/>
          <w:numId w:val="1004"/>
        </w:numPr>
        <w:pStyle w:val="Compact"/>
      </w:pPr>
      <w:r>
        <w:t xml:space="preserve">Recyclability percentage and existence of circular programs.</w:t>
      </w:r>
    </w:p>
    <w:p>
      <w:pPr>
        <w:numPr>
          <w:ilvl w:val="0"/>
          <w:numId w:val="1003"/>
        </w:numPr>
        <w:pStyle w:val="Compact"/>
      </w:pPr>
      <w:r>
        <w:rPr>
          <w:bCs/>
          <w:b/>
        </w:rPr>
        <w:t xml:space="preserve">Secondary Data (Industry-Standard Emission Factors):</w:t>
      </w:r>
    </w:p>
    <w:p>
      <w:pPr>
        <w:numPr>
          <w:ilvl w:val="1"/>
          <w:numId w:val="1005"/>
        </w:numPr>
        <w:pStyle w:val="Compact"/>
      </w:pPr>
      <w:r>
        <w:t xml:space="preserve">Emission factors for material production (from BOM).</w:t>
      </w:r>
    </w:p>
    <w:p>
      <w:pPr>
        <w:numPr>
          <w:ilvl w:val="1"/>
          <w:numId w:val="1005"/>
        </w:numPr>
        <w:pStyle w:val="Compact"/>
      </w:pPr>
      <w:r>
        <w:t xml:space="preserve">Regional grid electricity emission factors for China and general markets.</w:t>
      </w:r>
    </w:p>
    <w:p>
      <w:pPr>
        <w:numPr>
          <w:ilvl w:val="1"/>
          <w:numId w:val="1005"/>
        </w:numPr>
        <w:pStyle w:val="Compact"/>
      </w:pPr>
      <w:r>
        <w:t xml:space="preserve">Emission factors for various transport modes (road freight, parcel delivery).</w:t>
      </w:r>
    </w:p>
    <w:p>
      <w:pPr>
        <w:numPr>
          <w:ilvl w:val="1"/>
          <w:numId w:val="1005"/>
        </w:numPr>
        <w:pStyle w:val="Compact"/>
      </w:pPr>
      <w:r>
        <w:t xml:space="preserve">End-of-life treatment emission factors (landfill, recycling credits).</w:t>
      </w:r>
    </w:p>
    <w:bookmarkEnd w:id="24"/>
    <w:bookmarkStart w:id="25" w:name="Xb404f6bea4a0013006ec7a9103609d9ea6643c1"/>
    <w:p>
      <w:pPr>
        <w:pStyle w:val="Heading2"/>
      </w:pPr>
      <w:r>
        <w:t xml:space="preserve">1.4. Calculate Emissions (Activity * Emission Factor = CO2e)</w:t>
      </w:r>
    </w:p>
    <w:p>
      <w:pPr>
        <w:pStyle w:val="FirstParagraph"/>
      </w:pPr>
      <w:r>
        <w:t xml:space="preserve">GHG emissions are calculated by multiplying activity data (e.g., kg of material, kWh of energy, km traveled) by relevant emission factors (CO2e/unit of activity).</w:t>
      </w:r>
      <w:r>
        <w:t xml:space="preserve"> </w:t>
      </w:r>
      <w:r>
        <w:t xml:space="preserve">All results are expressed in kilograms of carbon dioxide equivalent (kg CO2e).</w:t>
      </w:r>
    </w:p>
    <w:bookmarkEnd w:id="25"/>
    <w:bookmarkStart w:id="26" w:name="review-report-hotspots-and-reliability"/>
    <w:p>
      <w:pPr>
        <w:pStyle w:val="Heading2"/>
      </w:pPr>
      <w:r>
        <w:t xml:space="preserve">1.5. Review &amp; Report (Hotspots and Reliability)</w:t>
      </w:r>
    </w:p>
    <w:p>
      <w:pPr>
        <w:pStyle w:val="FirstParagraph"/>
      </w:pPr>
      <w:r>
        <w:t xml:space="preserve">The final step involves synthesizing the calculated emissions, identifying hotspots (stages with the highest emissions),</w:t>
      </w:r>
      <w:r>
        <w:t xml:space="preserve"> </w:t>
      </w:r>
      <w:r>
        <w:t xml:space="preserve">and assessing the overall reliability of the data and assumptions. This report aims to provide transparent and actionable insights.</w:t>
      </w:r>
    </w:p>
    <w:p>
      <w:r>
        <w:pict>
          <v:rect style="width:0;height:1.5pt" o:hralign="center" o:hrstd="t" o:hr="t"/>
        </w:pict>
      </w:r>
    </w:p>
    <w:bookmarkEnd w:id="26"/>
    <w:bookmarkEnd w:id="27"/>
    <w:bookmarkStart w:id="30" w:name="ghg-protocol-adherence-and-2026-updates"/>
    <w:p>
      <w:pPr>
        <w:pStyle w:val="Heading1"/>
      </w:pPr>
      <w:r>
        <w:t xml:space="preserve">2. GHG Protocol Adherence and 2026 Updates</w:t>
      </w:r>
    </w:p>
    <w:p>
      <w:pPr>
        <w:pStyle w:val="FirstParagraph"/>
      </w:pPr>
      <w:r>
        <w:t xml:space="preserve">The analysis strictly adheres to the Greenhouse Gas Protocol Corporate Accounting and Reporting Standard and the Product Standard.</w:t>
      </w:r>
      <w:r>
        <w:t xml:space="preserve"> </w:t>
      </w:r>
      <w:r>
        <w:t xml:space="preserve">Emissions are categorized as follows:</w:t>
      </w:r>
    </w:p>
    <w:p>
      <w:pPr>
        <w:numPr>
          <w:ilvl w:val="0"/>
          <w:numId w:val="1006"/>
        </w:numPr>
        <w:pStyle w:val="Compact"/>
      </w:pPr>
      <w:r>
        <w:rPr>
          <w:bCs/>
          <w:b/>
        </w:rPr>
        <w:t xml:space="preserve">Scope 1: Direct GHG Emissions</w:t>
      </w:r>
      <w:r>
        <w:t xml:space="preserve"> </w:t>
      </w:r>
      <w:r>
        <w:t xml:space="preserve">from sources owned or controlled by rtugntwezm (e.g., fuel combustion in company vehicles, process emissions).</w:t>
      </w:r>
    </w:p>
    <w:p>
      <w:pPr>
        <w:numPr>
          <w:ilvl w:val="0"/>
          <w:numId w:val="1006"/>
        </w:numPr>
        <w:pStyle w:val="Compact"/>
      </w:pPr>
      <w:r>
        <w:rPr>
          <w:bCs/>
          <w:b/>
        </w:rPr>
        <w:t xml:space="preserve">Scope 2: Indirect GHG Emissions</w:t>
      </w:r>
      <w:r>
        <w:t xml:space="preserve"> </w:t>
      </w:r>
      <w:r>
        <w:t xml:space="preserve">from the generation of purchased electricity, heat, or steam consumed by rtugntwezm\'s operations.</w:t>
      </w:r>
    </w:p>
    <w:p>
      <w:pPr>
        <w:numPr>
          <w:ilvl w:val="0"/>
          <w:numId w:val="1006"/>
        </w:numPr>
        <w:pStyle w:val="Compact"/>
      </w:pPr>
      <w:r>
        <w:rPr>
          <w:bCs/>
          <w:b/>
        </w:rPr>
        <w:t xml:space="preserve">Scope 3: Other Indirect GHG Emissions</w:t>
      </w:r>
      <w:r>
        <w:t xml:space="preserve"> </w:t>
      </w:r>
      <w:r>
        <w:t xml:space="preserve">occurring from the value chain, both upstream and downstream, not owned or controlled by rtugntwezm. This typically represents the largest portion of a product\'s footprint.</w:t>
      </w:r>
    </w:p>
    <w:bookmarkStart w:id="28" w:name="X504f4a86e01fdcfa46a4589bb1b5e0cfaad8629"/>
    <w:p>
      <w:pPr>
        <w:pStyle w:val="Heading2"/>
      </w:pPr>
      <w:r>
        <w:t xml:space="preserve">2.1. 2026 Land Sector and Removals (LSR) Standard Update</w:t>
      </w:r>
    </w:p>
    <w:p>
      <w:pPr>
        <w:pStyle w:val="FirstParagraph"/>
      </w:pPr>
      <w:r>
        <w:t xml:space="preserve">The GHG Protocol\'s Land Sector and Removals (LSR) Standard, released on January 30, 2026, and effective January 1, 2027,</w:t>
      </w:r>
      <w:r>
        <w:t xml:space="preserve"> </w:t>
      </w:r>
      <w:r>
        <w:t xml:space="preserve">provides enhanced requirements for accounting and reporting land emissions and CO2 removals.</w:t>
      </w:r>
      <w:r>
        <w:t xml:space="preserve"> </w:t>
      </w:r>
      <w:r>
        <w:t xml:space="preserve">While iixsgfjppo is not explicitly a land-intensive product, the principles of the LSR Standard are integrated into the End-of-Life (EoL)</w:t>
      </w:r>
      <w:r>
        <w:t xml:space="preserve"> </w:t>
      </w:r>
      <w:r>
        <w:t xml:space="preserve">assessment by considering carbon removals or avoided emissions through recycling, aligning with circular economy objectives.</w:t>
      </w:r>
      <w:r>
        <w:t xml:space="preserve"> </w:t>
      </w:r>
      <w:r>
        <w:t xml:space="preserve">This includes tracking potential benefits from material recovery and ensuring clear classification of removals.</w:t>
      </w:r>
      <w:r>
        <w:t xml:space="preserve"> </w:t>
      </w:r>
      <w:r>
        <w:t xml:space="preserve">The accompanying Land Sector and Removals Guidance is expected in Q2 2026 and will offer further practical implementation details.</w:t>
      </w:r>
    </w:p>
    <w:bookmarkEnd w:id="28"/>
    <w:bookmarkStart w:id="29" w:name="scope-3-compliance-95-coverage"/>
    <w:p>
      <w:pPr>
        <w:pStyle w:val="Heading2"/>
      </w:pPr>
      <w:r>
        <w:t xml:space="preserve">2.2. Scope 3 Compliance (95% Coverage)</w:t>
      </w:r>
    </w:p>
    <w:p>
      <w:pPr>
        <w:pStyle w:val="FirstParagraph"/>
      </w:pPr>
      <w:r>
        <w:t xml:space="preserve">As per the proposed revisions in the GHG Protocol\'s Scope 3 Standard from March 2026, this analysis ensures</w:t>
      </w:r>
      <w:r>
        <w:t xml:space="preserve"> </w:t>
      </w:r>
      <w:r>
        <w:t xml:space="preserve">at least 95% coverage of total required Scope 3 emissions. Exclusions are quantified, disclosed, and justified,</w:t>
      </w:r>
      <w:r>
        <w:t xml:space="preserve"> </w:t>
      </w:r>
      <w:r>
        <w:t xml:space="preserve">not exceeding 5% of required Scope 3 emissions. This commitment enhances the completeness, consistency,</w:t>
      </w:r>
      <w:r>
        <w:t xml:space="preserve"> </w:t>
      </w:r>
      <w:r>
        <w:t xml:space="preserve">and transparency of the inventory, providing a standardized and verifiable threshold for emissions reporting.</w:t>
      </w:r>
    </w:p>
    <w:p>
      <w:r>
        <w:pict>
          <v:rect style="width:0;height:1.5pt" o:hralign="center" o:hrstd="t" o:hr="t"/>
        </w:pict>
      </w:r>
    </w:p>
    <w:bookmarkEnd w:id="29"/>
    <w:bookmarkEnd w:id="30"/>
    <w:bookmarkStart w:id="39" w:name="X8b7e93f541e0434a9d3db02641e4f7e14fe232f"/>
    <w:p>
      <w:pPr>
        <w:pStyle w:val="Heading1"/>
      </w:pPr>
      <w:r>
        <w:t xml:space="preserve">3. Product Carbon Footprint Analysis for iixsgfjppo</w:t>
      </w:r>
    </w:p>
    <w:p>
      <w:pPr>
        <w:pStyle w:val="FirstParagraph"/>
      </w:pPr>
      <w:r>
        <w:t xml:space="preserve">This section details the calculation of the Product Carbon Footprint for one functional unit of iixsgfjppo.</w:t>
      </w:r>
      <w:r>
        <w:t xml:space="preserve"> </w:t>
      </w:r>
      <w:r>
        <w:t xml:space="preserve">All input parameters are based on the provided placeholder values and illustrative emission factors.</w:t>
      </w:r>
    </w:p>
    <w:bookmarkStart w:id="31" w:name="X24266d83e8a97a0b746b6ee9d1e5660f558ebea"/>
    <w:p>
      <w:pPr>
        <w:pStyle w:val="Heading2"/>
      </w:pPr>
      <w:r>
        <w:t xml:space="preserve">3.1. Detailed Bill of Materials (BOM) and Material Impact (Scope 3, Category 1)</w:t>
      </w:r>
    </w:p>
    <w:p>
      <w:pPr>
        <w:pStyle w:val="FirstParagraph"/>
      </w:pPr>
      <w:r>
        <w:t xml:space="preserve">The following Bill of Materials (BOM) for iixsgfjppo has been used for a high-accuracy material impact calculation.</w:t>
      </w:r>
      <w:r>
        <w:t xml:space="preserve"> </w:t>
      </w:r>
      <w:r>
        <w:t xml:space="preserve">The "Emission Factor" and "Total Carbon" values below are directly from the provided</w:t>
      </w:r>
      <w:r>
        <w:t xml:space="preserve"> </w:t>
      </w:r>
      <w:r>
        <w:rPr>
          <w:rStyle w:val="VerbatimChar"/>
        </w:rPr>
        <w:t xml:space="preserve">qxfkyjny</w:t>
      </w:r>
      <w:r>
        <w:t xml:space="preserve"> </w:t>
      </w:r>
      <w:r>
        <w:t xml:space="preserve">parameter,</w:t>
      </w:r>
      <w:r>
        <w:t xml:space="preserve"> </w:t>
      </w:r>
      <w:r>
        <w:t xml:space="preserve">which for this report serves as illustrative data demonstrating the specified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Metal Forming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Other</w:t>
            </w:r>
          </w:p>
        </w:tc>
        <w:tc>
          <w:tcPr/>
          <w:p>
            <w:pPr>
              <w:pStyle w:val="Compact"/>
              <w:jc w:val="left"/>
            </w:pPr>
            <w:r>
              <w:t xml:space="preserve">Converting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0.3</w:t>
            </w:r>
          </w:p>
        </w:tc>
        <w:tc>
          <w:tcPr/>
          <w:p>
            <w:pPr>
              <w:pStyle w:val="Compact"/>
              <w:jc w:val="left"/>
            </w:pPr>
            <w:r>
              <w:t xml:space="preserve">0.15</w:t>
            </w:r>
          </w:p>
        </w:tc>
      </w:tr>
      <w:tr>
        <w:tc>
          <w:tcPr>
            <w:gridSpan w:val="7"/>
          </w:tcPr>
          <w:p>
            <w:pPr>
              <w:pStyle w:val="Compact"/>
              <w:jc w:val="right"/>
            </w:pPr>
            <w:r>
              <w:t xml:space="preserve">Total Material Impact:</w:t>
            </w:r>
          </w:p>
        </w:tc>
        <w:tc>
          <w:tcPr/>
          <w:p>
            <w:pPr>
              <w:pStyle w:val="Compact"/>
              <w:jc w:val="left"/>
            </w:pPr>
            <w:r>
              <w:rPr>
                <w:bCs/>
                <w:b/>
              </w:rPr>
              <w:t xml:space="preserve">13.75</w:t>
            </w:r>
          </w:p>
        </w:tc>
      </w:tr>
    </w:tbl>
    <w:p>
      <w:pPr>
        <w:pStyle w:val="BodyText"/>
      </w:pPr>
      <w:r>
        <w:rPr>
          <w:bCs/>
          <w:b/>
        </w:rPr>
        <w:t xml:space="preserve">Total Material Acquisition &amp; Pre-processing Emissions (Scope 3, Category 1): 13.75 kg CO2e</w:t>
      </w:r>
    </w:p>
    <w:bookmarkEnd w:id="31"/>
    <w:bookmarkStart w:id="34" w:name="production-phase-emissions-scope-1-2"/>
    <w:p>
      <w:pPr>
        <w:pStyle w:val="Heading2"/>
      </w:pPr>
      <w:r>
        <w:t xml:space="preserve">3.2. Production Phase Emissions (Scope 1 &amp; 2)</w:t>
      </w:r>
    </w:p>
    <w:p>
      <w:pPr>
        <w:pStyle w:val="FirstParagraph"/>
      </w:pPr>
      <w:r>
        <w:t xml:space="preserve">The production facility for iixsgfjppo is located in China. The energy consumption and renewable energy usage</w:t>
      </w:r>
      <w:r>
        <w:t xml:space="preserve"> </w:t>
      </w:r>
      <w:r>
        <w:t xml:space="preserve">for the production phase are incorporated as follows:</w:t>
      </w:r>
    </w:p>
    <w:p>
      <w:pPr>
        <w:numPr>
          <w:ilvl w:val="0"/>
          <w:numId w:val="1007"/>
        </w:numPr>
        <w:pStyle w:val="Compact"/>
      </w:pPr>
      <w:r>
        <w:rPr>
          <w:bCs/>
          <w:b/>
        </w:rPr>
        <w:t xml:space="preserve">Energy Intensity (</w:t>
      </w:r>
      <w:r>
        <w:rPr>
          <w:rStyle w:val="VerbatimChar"/>
          <w:bCs/>
          <w:b/>
        </w:rPr>
        <w:t xml:space="preserve">iudxpkezho</w:t>
      </w:r>
      <w:r>
        <w:rPr>
          <w:bCs/>
          <w:b/>
        </w:rPr>
        <w:t xml:space="preserve">):</w:t>
      </w:r>
      <w:r>
        <w:t xml:space="preserve"> </w:t>
      </w:r>
      <w:r>
        <w:t xml:space="preserve">2.5 kWh/unit</w:t>
      </w:r>
    </w:p>
    <w:p>
      <w:pPr>
        <w:numPr>
          <w:ilvl w:val="0"/>
          <w:numId w:val="1007"/>
        </w:numPr>
        <w:pStyle w:val="Compact"/>
      </w:pPr>
      <w:r>
        <w:rPr>
          <w:bCs/>
          <w:b/>
        </w:rPr>
        <w:t xml:space="preserve">Renewable Energy Usage (</w:t>
      </w:r>
      <w:r>
        <w:rPr>
          <w:rStyle w:val="VerbatimChar"/>
          <w:bCs/>
          <w:b/>
        </w:rPr>
        <w:t xml:space="preserve">izlengexjs</w:t>
      </w:r>
      <w:r>
        <w:rPr>
          <w:bCs/>
          <w:b/>
        </w:rPr>
        <w:t xml:space="preserve">):</w:t>
      </w:r>
      <w:r>
        <w:t xml:space="preserve"> </w:t>
      </w:r>
      <w:r>
        <w:t xml:space="preserve">50%</w:t>
      </w:r>
    </w:p>
    <w:p>
      <w:pPr>
        <w:numPr>
          <w:ilvl w:val="0"/>
          <w:numId w:val="1007"/>
        </w:numPr>
        <w:pStyle w:val="Compact"/>
      </w:pPr>
      <w:r>
        <w:rPr>
          <w:bCs/>
          <w:b/>
        </w:rPr>
        <w:t xml:space="preserve">Non-Renewable Energy Usage:</w:t>
      </w:r>
      <w:r>
        <w:t xml:space="preserve"> </w:t>
      </w:r>
      <w:r>
        <w:t xml:space="preserve">2.5 kWh/unit * (1 - 0.50) = 1.25 kWh/unit</w:t>
      </w:r>
    </w:p>
    <w:p>
      <w:pPr>
        <w:numPr>
          <w:ilvl w:val="0"/>
          <w:numId w:val="1007"/>
        </w:numPr>
        <w:pStyle w:val="Compact"/>
      </w:pPr>
      <w:r>
        <w:rPr>
          <w:bCs/>
          <w:b/>
        </w:rPr>
        <w:t xml:space="preserve">China Grid Electricity Emission Factor (Illustrative):</w:t>
      </w:r>
      <w:r>
        <w:t xml:space="preserve"> </w:t>
      </w:r>
      <w:r>
        <w:t xml:space="preserve">0.57 kg CO2e/kWh.</w:t>
      </w:r>
    </w:p>
    <w:bookmarkStart w:id="32" w:name="scope-1-direct-emissions"/>
    <w:p>
      <w:pPr>
        <w:pStyle w:val="Heading3"/>
      </w:pPr>
      <w:r>
        <w:t xml:space="preserve">Scope 1: Direct Emissions</w:t>
      </w:r>
    </w:p>
    <w:p>
      <w:pPr>
        <w:pStyle w:val="FirstParagraph"/>
      </w:pPr>
      <w:r>
        <w:t xml:space="preserve">For the factory_gate system boundary, direct emissions (e.g., from on-site fuel combustion) are assumed to be negligible</w:t>
      </w:r>
      <w:r>
        <w:t xml:space="preserve"> </w:t>
      </w:r>
      <w:r>
        <w:t xml:space="preserve">or not explicitly provided for in the parameters. Any significant direct emissions would be added here.</w:t>
      </w:r>
      <w:r>
        <w:t xml:space="preserve"> </w:t>
      </w:r>
      <w:r>
        <w:rPr>
          <w:bCs/>
          <w:b/>
        </w:rPr>
        <w:t xml:space="preserve">Scope 1 Emissions: 0.00 kg CO2e</w:t>
      </w:r>
    </w:p>
    <w:bookmarkEnd w:id="32"/>
    <w:bookmarkStart w:id="33" w:name="scope-2-purchased-electricity-emissions"/>
    <w:p>
      <w:pPr>
        <w:pStyle w:val="Heading3"/>
      </w:pPr>
      <w:r>
        <w:t xml:space="preserve">Scope 2: Purchased Electricity Emissions</w:t>
      </w:r>
    </w:p>
    <w:p>
      <w:pPr>
        <w:pStyle w:val="FirstParagraph"/>
      </w:pPr>
      <w:r>
        <w:t xml:space="preserve">Emissions from purchased electricity are calculated based on the non-renewable portion of energy consumption.</w:t>
      </w:r>
      <w:r>
        <w:t xml:space="preserve"> </w:t>
      </w:r>
      <w:r>
        <w:rPr>
          <w:bCs/>
          <w:b/>
        </w:rPr>
        <w:t xml:space="preserve">Scope 2 Emissions:</w:t>
      </w:r>
      <w:r>
        <w:t xml:space="preserve"> </w:t>
      </w:r>
      <w:r>
        <w:t xml:space="preserve">1.25 kWh/unit * 0.57 kg CO2e/kWh =</w:t>
      </w:r>
      <w:r>
        <w:t xml:space="preserve"> </w:t>
      </w:r>
      <w:r>
        <w:rPr>
          <w:bCs/>
          <w:b/>
        </w:rPr>
        <w:t xml:space="preserve">0.71 kg CO2e</w:t>
      </w:r>
    </w:p>
    <w:bookmarkEnd w:id="33"/>
    <w:bookmarkEnd w:id="34"/>
    <w:bookmarkStart w:id="35" w:name="Xc2323fbcefd5e9c04ce25d60e52da62e6b9cb44"/>
    <w:p>
      <w:pPr>
        <w:pStyle w:val="Heading2"/>
      </w:pPr>
      <w:r>
        <w:t xml:space="preserve">3.3. Upstream Transportation and Distribution (Scope 3, Category 4)</w:t>
      </w:r>
    </w:p>
    <w:p>
      <w:pPr>
        <w:pStyle w:val="FirstParagraph"/>
      </w:pPr>
      <w:r>
        <w:t xml:space="preserve">Transportation of materials from Europe to the production facility in China:</w:t>
      </w:r>
    </w:p>
    <w:p>
      <w:pPr>
        <w:numPr>
          <w:ilvl w:val="0"/>
          <w:numId w:val="1008"/>
        </w:numPr>
        <w:pStyle w:val="Compact"/>
      </w:pPr>
      <w:r>
        <w:rPr>
          <w:bCs/>
          <w:b/>
        </w:rPr>
        <w:t xml:space="preserve">Total Product Weight:</w:t>
      </w:r>
      <w:r>
        <w:t xml:space="preserve"> </w:t>
      </w:r>
      <w:r>
        <w:t xml:space="preserve">6.5 kg (sum of BOM item quantities) = 0.0065 tonnes</w:t>
      </w:r>
    </w:p>
    <w:p>
      <w:pPr>
        <w:numPr>
          <w:ilvl w:val="0"/>
          <w:numId w:val="1008"/>
        </w:numPr>
        <w:pStyle w:val="Compact"/>
      </w:pPr>
      <w:r>
        <w:rPr>
          <w:bCs/>
          <w:b/>
        </w:rPr>
        <w:t xml:space="preserve">Transport Mode (</w:t>
      </w:r>
      <w:r>
        <w:rPr>
          <w:rStyle w:val="VerbatimChar"/>
          <w:bCs/>
          <w:b/>
        </w:rPr>
        <w:t xml:space="preserve">Select Mode</w:t>
      </w:r>
      <w:r>
        <w:rPr>
          <w:bCs/>
          <w:b/>
        </w:rPr>
        <w:t xml:space="preserve">):</w:t>
      </w:r>
      <w:r>
        <w:t xml:space="preserve"> </w:t>
      </w:r>
      <w:r>
        <w:t xml:space="preserve">Road Freight (Heavy Goods Vehicle &gt; 16t)</w:t>
      </w:r>
    </w:p>
    <w:p>
      <w:pPr>
        <w:numPr>
          <w:ilvl w:val="0"/>
          <w:numId w:val="1008"/>
        </w:numPr>
        <w:pStyle w:val="Compact"/>
      </w:pPr>
      <w:r>
        <w:rPr>
          <w:bCs/>
          <w:b/>
        </w:rPr>
        <w:t xml:space="preserve">Transport Distance (</w:t>
      </w:r>
      <w:r>
        <w:rPr>
          <w:rStyle w:val="VerbatimChar"/>
          <w:bCs/>
          <w:b/>
        </w:rPr>
        <w:t xml:space="preserve">wsytzjfyrr</w:t>
      </w:r>
      <w:r>
        <w:rPr>
          <w:bCs/>
          <w:b/>
        </w:rPr>
        <w:t xml:space="preserve">):</w:t>
      </w:r>
      <w:r>
        <w:t xml:space="preserve"> </w:t>
      </w:r>
      <w:r>
        <w:t xml:space="preserve">2500 km</w:t>
      </w:r>
    </w:p>
    <w:p>
      <w:pPr>
        <w:numPr>
          <w:ilvl w:val="0"/>
          <w:numId w:val="1008"/>
        </w:numPr>
        <w:pStyle w:val="Compact"/>
      </w:pPr>
      <w:r>
        <w:rPr>
          <w:bCs/>
          <w:b/>
        </w:rPr>
        <w:t xml:space="preserve">Road Freight Emission Factor (Illustrative):</w:t>
      </w:r>
      <w:r>
        <w:t xml:space="preserve"> </w:t>
      </w:r>
      <w:r>
        <w:t xml:space="preserve">0.1 kg CO2e/tonne-km (for European supply chain).</w:t>
      </w:r>
    </w:p>
    <w:p>
      <w:pPr>
        <w:pStyle w:val="FirstParagraph"/>
      </w:pPr>
      <w:r>
        <w:rPr>
          <w:bCs/>
          <w:b/>
        </w:rPr>
        <w:t xml:space="preserve">Upstream Transport Emissions:</w:t>
      </w:r>
      <w:r>
        <w:t xml:space="preserve"> </w:t>
      </w:r>
      <w:r>
        <w:t xml:space="preserve">0.0065 tonnes * 2500 km * 0.1 kg CO2e/tonne-km =</w:t>
      </w:r>
      <w:r>
        <w:t xml:space="preserve"> </w:t>
      </w:r>
      <w:r>
        <w:rPr>
          <w:bCs/>
          <w:b/>
        </w:rPr>
        <w:t xml:space="preserve">1.63 kg CO2e</w:t>
      </w:r>
    </w:p>
    <w:bookmarkEnd w:id="35"/>
    <w:bookmarkStart w:id="36" w:name="Xff79d29cd41b0a0e3cb0f1c28674686e9618c84"/>
    <w:p>
      <w:pPr>
        <w:pStyle w:val="Heading2"/>
      </w:pPr>
      <w:r>
        <w:t xml:space="preserve">3.4. Downstream Transportation and Distribution (Scope 3, Category 9)</w:t>
      </w:r>
    </w:p>
    <w:p>
      <w:pPr>
        <w:pStyle w:val="FirstParagraph"/>
      </w:pPr>
      <w:r>
        <w:t xml:space="preserve">Last-mile delivery of the finished product to the customer:</w:t>
      </w:r>
    </w:p>
    <w:p>
      <w:pPr>
        <w:numPr>
          <w:ilvl w:val="0"/>
          <w:numId w:val="1009"/>
        </w:numPr>
        <w:pStyle w:val="Compact"/>
      </w:pPr>
      <w:r>
        <w:rPr>
          <w:bCs/>
          <w:b/>
        </w:rPr>
        <w:t xml:space="preserve">Last-Mile Delivery Channel (</w:t>
      </w:r>
      <w:r>
        <w:rPr>
          <w:rStyle w:val="VerbatimChar"/>
          <w:bCs/>
          <w:b/>
        </w:rPr>
        <w:t xml:space="preserve">Delivery Type</w:t>
      </w:r>
      <w:r>
        <w:rPr>
          <w:bCs/>
          <w:b/>
        </w:rPr>
        <w:t xml:space="preserve">):</w:t>
      </w:r>
      <w:r>
        <w:t xml:space="preserve"> </w:t>
      </w:r>
      <w:r>
        <w:t xml:space="preserve">Local Parcel Service (Van)</w:t>
      </w:r>
    </w:p>
    <w:p>
      <w:pPr>
        <w:numPr>
          <w:ilvl w:val="0"/>
          <w:numId w:val="1009"/>
        </w:numPr>
        <w:pStyle w:val="Compact"/>
      </w:pPr>
      <w:r>
        <w:rPr>
          <w:bCs/>
          <w:b/>
        </w:rPr>
        <w:t xml:space="preserve">Last-Mile Distance (Illustrative):</w:t>
      </w:r>
      <w:r>
        <w:t xml:space="preserve"> </w:t>
      </w:r>
      <w:r>
        <w:t xml:space="preserve">50 km (average for local parcel delivery)</w:t>
      </w:r>
    </w:p>
    <w:p>
      <w:pPr>
        <w:numPr>
          <w:ilvl w:val="0"/>
          <w:numId w:val="1009"/>
        </w:numPr>
        <w:pStyle w:val="Compact"/>
      </w:pPr>
      <w:r>
        <w:rPr>
          <w:bCs/>
          <w:b/>
        </w:rPr>
        <w:t xml:space="preserve">Local Parcel Service Emission Factor (Illustrative):</w:t>
      </w:r>
      <w:r>
        <w:t xml:space="preserve"> </w:t>
      </w:r>
      <w:r>
        <w:t xml:space="preserve">0.05 kg CO2e/package-km (representing an allocation per package for a delivery van).</w:t>
      </w:r>
    </w:p>
    <w:p>
      <w:pPr>
        <w:pStyle w:val="FirstParagraph"/>
      </w:pPr>
      <w:r>
        <w:rPr>
          <w:bCs/>
          <w:b/>
        </w:rPr>
        <w:t xml:space="preserve">Downstream Transport Emissions:</w:t>
      </w:r>
      <w:r>
        <w:t xml:space="preserve"> </w:t>
      </w:r>
      <w:r>
        <w:t xml:space="preserve">1 unit * 50 km * 0.05 kg CO2e/package-km =</w:t>
      </w:r>
      <w:r>
        <w:t xml:space="preserve"> </w:t>
      </w:r>
      <w:r>
        <w:rPr>
          <w:bCs/>
          <w:b/>
        </w:rPr>
        <w:t xml:space="preserve">2.50 kg CO2e</w:t>
      </w:r>
    </w:p>
    <w:bookmarkEnd w:id="36"/>
    <w:bookmarkStart w:id="37" w:name="use-phase-emissions-scope-3-category-11"/>
    <w:p>
      <w:pPr>
        <w:pStyle w:val="Heading2"/>
      </w:pPr>
      <w:r>
        <w:t xml:space="preserve">3.5. Use Phase Emissions (Scope 3, Category 11)</w:t>
      </w:r>
    </w:p>
    <w:p>
      <w:pPr>
        <w:pStyle w:val="FirstParagraph"/>
      </w:pPr>
      <w:r>
        <w:t xml:space="preserve">Energy consumption during the product\'s lifespan:</w:t>
      </w:r>
    </w:p>
    <w:p>
      <w:pPr>
        <w:numPr>
          <w:ilvl w:val="0"/>
          <w:numId w:val="1010"/>
        </w:numPr>
        <w:pStyle w:val="Compact"/>
      </w:pPr>
      <w:r>
        <w:rPr>
          <w:bCs/>
          <w:b/>
        </w:rPr>
        <w:t xml:space="preserve">Product Lifespan (</w:t>
      </w:r>
      <w:r>
        <w:rPr>
          <w:rStyle w:val="VerbatimChar"/>
          <w:bCs/>
          <w:b/>
        </w:rPr>
        <w:t xml:space="preserve">ufhvgnrsvo</w:t>
      </w:r>
      <w:r>
        <w:rPr>
          <w:bCs/>
          <w:b/>
        </w:rPr>
        <w:t xml:space="preserve">):</w:t>
      </w:r>
      <w:r>
        <w:t xml:space="preserve"> </w:t>
      </w:r>
      <w:r>
        <w:t xml:space="preserve">5 years</w:t>
      </w:r>
    </w:p>
    <w:p>
      <w:pPr>
        <w:numPr>
          <w:ilvl w:val="0"/>
          <w:numId w:val="1010"/>
        </w:numPr>
        <w:pStyle w:val="Compact"/>
      </w:pPr>
      <w:r>
        <w:rPr>
          <w:bCs/>
          <w:b/>
        </w:rPr>
        <w:t xml:space="preserve">Energy Consumption in Use (</w:t>
      </w:r>
      <w:r>
        <w:rPr>
          <w:rStyle w:val="VerbatimChar"/>
          <w:bCs/>
          <w:b/>
        </w:rPr>
        <w:t xml:space="preserve">voinzhgkhi</w:t>
      </w:r>
      <w:r>
        <w:rPr>
          <w:bCs/>
          <w:b/>
        </w:rPr>
        <w:t xml:space="preserve">):</w:t>
      </w:r>
      <w:r>
        <w:t xml:space="preserve"> </w:t>
      </w:r>
      <w:r>
        <w:t xml:space="preserve">10 kWh/year</w:t>
      </w:r>
    </w:p>
    <w:p>
      <w:pPr>
        <w:numPr>
          <w:ilvl w:val="0"/>
          <w:numId w:val="1010"/>
        </w:numPr>
        <w:pStyle w:val="Compact"/>
      </w:pPr>
      <w:r>
        <w:rPr>
          <w:bCs/>
          <w:b/>
        </w:rPr>
        <w:t xml:space="preserve">Total Energy Consumption:</w:t>
      </w:r>
      <w:r>
        <w:t xml:space="preserve"> </w:t>
      </w:r>
      <w:r>
        <w:t xml:space="preserve">10 kWh/year * 5 years = 50 kWh</w:t>
      </w:r>
    </w:p>
    <w:p>
      <w:pPr>
        <w:numPr>
          <w:ilvl w:val="0"/>
          <w:numId w:val="1010"/>
        </w:numPr>
        <w:pStyle w:val="Compact"/>
      </w:pPr>
      <w:r>
        <w:rPr>
          <w:bCs/>
          <w:b/>
        </w:rPr>
        <w:t xml:space="preserve">Generic Grid Mix Emission Factor (Illustrative):</w:t>
      </w:r>
      <w:r>
        <w:t xml:space="preserve"> </w:t>
      </w:r>
      <w:r>
        <w:t xml:space="preserve">0.4 kg CO2e/kWh (assuming a general average for product use across markets).</w:t>
      </w:r>
    </w:p>
    <w:p>
      <w:pPr>
        <w:pStyle w:val="FirstParagraph"/>
      </w:pPr>
      <w:r>
        <w:rPr>
          <w:bCs/>
          <w:b/>
        </w:rPr>
        <w:t xml:space="preserve">Use Phase Emissions:</w:t>
      </w:r>
      <w:r>
        <w:t xml:space="preserve"> </w:t>
      </w:r>
      <w:r>
        <w:t xml:space="preserve">50 kWh * 0.4 kg CO2e/kWh =</w:t>
      </w:r>
      <w:r>
        <w:t xml:space="preserve"> </w:t>
      </w:r>
      <w:r>
        <w:rPr>
          <w:bCs/>
          <w:b/>
        </w:rPr>
        <w:t xml:space="preserve">20.00 kg CO2e</w:t>
      </w:r>
    </w:p>
    <w:bookmarkEnd w:id="37"/>
    <w:bookmarkStart w:id="38" w:name="Xfe53d4aff9ef97200bdde3a58d8207e6d2b0461"/>
    <w:p>
      <w:pPr>
        <w:pStyle w:val="Heading2"/>
      </w:pPr>
      <w:r>
        <w:t xml:space="preserve">3.6. End-of-Life (EoL) Emissions and Benefits (Scope 3, Category 12)</w:t>
      </w:r>
    </w:p>
    <w:p>
      <w:pPr>
        <w:pStyle w:val="FirstParagraph"/>
      </w:pPr>
      <w:r>
        <w:t xml:space="preserve">End-of-Life scenarios, reflecting circular economy impacts through recyclability and take-back programs:</w:t>
      </w:r>
    </w:p>
    <w:p>
      <w:pPr>
        <w:numPr>
          <w:ilvl w:val="0"/>
          <w:numId w:val="1011"/>
        </w:numPr>
        <w:pStyle w:val="Compact"/>
      </w:pPr>
      <w:r>
        <w:rPr>
          <w:bCs/>
          <w:b/>
        </w:rPr>
        <w:t xml:space="preserve">Recyclability Percentage (</w:t>
      </w:r>
      <w:r>
        <w:rPr>
          <w:rStyle w:val="VerbatimChar"/>
          <w:bCs/>
          <w:b/>
        </w:rPr>
        <w:t xml:space="preserve">tdhhfxjkzj</w:t>
      </w:r>
      <w:r>
        <w:rPr>
          <w:bCs/>
          <w:b/>
        </w:rPr>
        <w:t xml:space="preserve">):</w:t>
      </w:r>
      <w:r>
        <w:t xml:space="preserve"> </w:t>
      </w:r>
      <w:r>
        <w:t xml:space="preserve">75%</w:t>
      </w:r>
    </w:p>
    <w:p>
      <w:pPr>
        <w:numPr>
          <w:ilvl w:val="0"/>
          <w:numId w:val="1011"/>
        </w:numPr>
        <w:pStyle w:val="Compact"/>
      </w:pPr>
      <w:r>
        <w:rPr>
          <w:bCs/>
          <w:b/>
        </w:rPr>
        <w:t xml:space="preserve">Circular/Take-back Programs (</w:t>
      </w:r>
      <w:r>
        <w:rPr>
          <w:rStyle w:val="VerbatimChar"/>
          <w:bCs/>
          <w:b/>
        </w:rPr>
        <w:t xml:space="preserve">vytuhmyird</w:t>
      </w:r>
      <w:r>
        <w:rPr>
          <w:bCs/>
          <w:b/>
        </w:rPr>
        <w:t xml:space="preserve">):</w:t>
      </w:r>
      <w:r>
        <w:t xml:space="preserve"> </w:t>
      </w:r>
      <w:r>
        <w:t xml:space="preserve">Established take-back program for key components.</w:t>
      </w:r>
    </w:p>
    <w:p>
      <w:pPr>
        <w:numPr>
          <w:ilvl w:val="0"/>
          <w:numId w:val="1011"/>
        </w:numPr>
        <w:pStyle w:val="Compact"/>
      </w:pPr>
      <w:r>
        <w:rPr>
          <w:bCs/>
          <w:b/>
        </w:rPr>
        <w:t xml:space="preserve">Total Product Weight:</w:t>
      </w:r>
      <w:r>
        <w:t xml:space="preserve"> </w:t>
      </w:r>
      <w:r>
        <w:t xml:space="preserve">6.5 kg</w:t>
      </w:r>
    </w:p>
    <w:p>
      <w:pPr>
        <w:numPr>
          <w:ilvl w:val="0"/>
          <w:numId w:val="1011"/>
        </w:numPr>
        <w:pStyle w:val="Compact"/>
      </w:pPr>
      <w:r>
        <w:rPr>
          <w:bCs/>
          <w:b/>
        </w:rPr>
        <w:t xml:space="preserve">Recycled Portion:</w:t>
      </w:r>
      <w:r>
        <w:t xml:space="preserve"> </w:t>
      </w:r>
      <w:r>
        <w:t xml:space="preserve">75% of 6.5 kg = 4.875 kg</w:t>
      </w:r>
    </w:p>
    <w:p>
      <w:pPr>
        <w:numPr>
          <w:ilvl w:val="0"/>
          <w:numId w:val="1011"/>
        </w:numPr>
        <w:pStyle w:val="Compact"/>
      </w:pPr>
      <w:r>
        <w:rPr>
          <w:bCs/>
          <w:b/>
        </w:rPr>
        <w:t xml:space="preserve">Landfilled Portion:</w:t>
      </w:r>
      <w:r>
        <w:t xml:space="preserve"> </w:t>
      </w:r>
      <w:r>
        <w:t xml:space="preserve">25% of 6.5 kg = 1.625 kg</w:t>
      </w:r>
    </w:p>
    <w:p>
      <w:pPr>
        <w:numPr>
          <w:ilvl w:val="0"/>
          <w:numId w:val="1011"/>
        </w:numPr>
        <w:pStyle w:val="Compact"/>
      </w:pPr>
      <w:r>
        <w:rPr>
          <w:bCs/>
          <w:b/>
        </w:rPr>
        <w:t xml:space="preserve">Illustrative Avoided Emissions from Recycling (Average):</w:t>
      </w:r>
      <w:r>
        <w:t xml:space="preserve"> </w:t>
      </w:r>
      <w:r>
        <w:t xml:space="preserve">-1.5 kg CO2e/kg (credit for avoided primary material production).</w:t>
      </w:r>
    </w:p>
    <w:p>
      <w:pPr>
        <w:numPr>
          <w:ilvl w:val="0"/>
          <w:numId w:val="1011"/>
        </w:numPr>
        <w:pStyle w:val="Compact"/>
      </w:pPr>
      <w:r>
        <w:rPr>
          <w:bCs/>
          <w:b/>
        </w:rPr>
        <w:t xml:space="preserve">Illustrative Landfill Emissions (Average):</w:t>
      </w:r>
      <w:r>
        <w:t xml:space="preserve"> </w:t>
      </w:r>
      <w:r>
        <w:t xml:space="preserve">0.02 kg CO2e/kg (for non-recycled materials).</w:t>
      </w:r>
    </w:p>
    <w:p>
      <w:pPr>
        <w:pStyle w:val="FirstParagraph"/>
      </w:pPr>
      <w:r>
        <w:rPr>
          <w:bCs/>
          <w:b/>
        </w:rPr>
        <w:t xml:space="preserve">Emissions from Landfilled Portion:</w:t>
      </w:r>
      <w:r>
        <w:t xml:space="preserve"> </w:t>
      </w:r>
      <w:r>
        <w:t xml:space="preserve">1.625 kg * 0.02 kg CO2e/kg = 0.03 kg CO2e</w:t>
      </w:r>
      <w:r>
        <w:br/>
      </w:r>
      <w:r>
        <w:rPr>
          <w:bCs/>
          <w:b/>
        </w:rPr>
        <w:t xml:space="preserve">Avoided Emissions from Recycled Portion:</w:t>
      </w:r>
      <w:r>
        <w:t xml:space="preserve"> </w:t>
      </w:r>
      <w:r>
        <w:t xml:space="preserve">4.875 kg * (-1.5 kg CO2e/kg) = -7.31 kg CO2e</w:t>
      </w:r>
      <w:r>
        <w:br/>
      </w:r>
      <w:r>
        <w:rPr>
          <w:bCs/>
          <w:b/>
        </w:rPr>
        <w:t xml:space="preserve">Total End-of-Life Emissions:</w:t>
      </w:r>
      <w:r>
        <w:t xml:space="preserve"> </w:t>
      </w:r>
      <w:r>
        <w:t xml:space="preserve">0.03 kg CO2e - 7.31 kg CO2e =</w:t>
      </w:r>
      <w:r>
        <w:t xml:space="preserve"> </w:t>
      </w:r>
      <w:r>
        <w:rPr>
          <w:bCs/>
          <w:b/>
        </w:rPr>
        <w:t xml:space="preserve">-7.28 kg CO2e</w:t>
      </w:r>
    </w:p>
    <w:p>
      <w:r>
        <w:pict>
          <v:rect style="width:0;height:1.5pt" o:hralign="center" o:hrstd="t" o:hr="t"/>
        </w:pict>
      </w:r>
    </w:p>
    <w:bookmarkEnd w:id="38"/>
    <w:bookmarkEnd w:id="39"/>
    <w:bookmarkStart w:id="42" w:name="total-product-carbon-footprint-summary"/>
    <w:p>
      <w:pPr>
        <w:pStyle w:val="Heading1"/>
      </w:pPr>
      <w:r>
        <w:t xml:space="preserve">4. Total Product Carbon Footprint Summary</w:t>
      </w:r>
    </w:p>
    <w:p>
      <w:pPr>
        <w:pStyle w:val="FirstParagraph"/>
      </w:pPr>
      <w:r>
        <w:t xml:space="preserve">The following table summarizes the Product Carbon Footprint for one functional unit of iixsgfjppo, broken down by lifecycle stage and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13.75</w:t>
            </w:r>
          </w:p>
        </w:tc>
        <w:tc>
          <w:tcPr/>
          <w:p>
            <w:pPr>
              <w:pStyle w:val="Compact"/>
              <w:jc w:val="left"/>
            </w:pPr>
            <w:r>
              <w:t xml:space="preserve">43.92%</w:t>
            </w:r>
          </w:p>
        </w:tc>
      </w:tr>
      <w:tr>
        <w:tc>
          <w:tcPr/>
          <w:p>
            <w:pPr>
              <w:pStyle w:val="Compact"/>
              <w:jc w:val="left"/>
            </w:pPr>
            <w:r>
              <w:t xml:space="preserve">Manufacturing (Direct - Operational)</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0.71</w:t>
            </w:r>
          </w:p>
        </w:tc>
        <w:tc>
          <w:tcPr/>
          <w:p>
            <w:pPr>
              <w:pStyle w:val="Compact"/>
              <w:jc w:val="left"/>
            </w:pPr>
            <w:r>
              <w:t xml:space="preserve">2.27%</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1.63</w:t>
            </w:r>
          </w:p>
        </w:tc>
        <w:tc>
          <w:tcPr/>
          <w:p>
            <w:pPr>
              <w:pStyle w:val="Compact"/>
              <w:jc w:val="left"/>
            </w:pPr>
            <w:r>
              <w:t xml:space="preserve">5.21%</w:t>
            </w:r>
          </w:p>
        </w:tc>
      </w:tr>
      <w:tr>
        <w:tc>
          <w:tcPr/>
          <w:p>
            <w:pPr>
              <w:pStyle w:val="Compact"/>
              <w:jc w:val="left"/>
            </w:pPr>
            <w:r>
              <w:t xml:space="preserve">Downstream Transportation &amp; Distribution</w:t>
            </w:r>
          </w:p>
        </w:tc>
        <w:tc>
          <w:tcPr/>
          <w:p>
            <w:pPr>
              <w:pStyle w:val="Compact"/>
              <w:jc w:val="left"/>
            </w:pPr>
            <w:r>
              <w:t xml:space="preserve">Scope 3 (Category 9)</w:t>
            </w:r>
          </w:p>
        </w:tc>
        <w:tc>
          <w:tcPr/>
          <w:p>
            <w:pPr>
              <w:pStyle w:val="Compact"/>
              <w:jc w:val="left"/>
            </w:pPr>
            <w:r>
              <w:t xml:space="preserve">2.50</w:t>
            </w:r>
          </w:p>
        </w:tc>
        <w:tc>
          <w:tcPr/>
          <w:p>
            <w:pPr>
              <w:pStyle w:val="Compact"/>
              <w:jc w:val="left"/>
            </w:pPr>
            <w:r>
              <w:t xml:space="preserve">7.99%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w:t>
            </w:r>
          </w:p>
        </w:tc>
        <w:tc>
          <w:tcPr/>
          <w:p>
            <w:pPr>
              <w:pStyle w:val="Compact"/>
              <w:jc w:val="left"/>
            </w:pPr>
            <w:r>
              <w:t xml:space="preserve">63.88%</w:t>
            </w:r>
          </w:p>
        </w:tc>
      </w:tr>
      <w:tr>
        <w:tc>
          <w:tcPr/>
          <w:p>
            <w:pPr>
              <w:pStyle w:val="Compact"/>
              <w:jc w:val="left"/>
            </w:pPr>
            <w:r>
              <w:t xml:space="preserve">End-of-Life Treatment (Net)</w:t>
            </w:r>
          </w:p>
        </w:tc>
        <w:tc>
          <w:tcPr/>
          <w:p>
            <w:pPr>
              <w:pStyle w:val="Compact"/>
              <w:jc w:val="left"/>
            </w:pPr>
            <w:r>
              <w:t xml:space="preserve">Scope 3 (Category 12)</w:t>
            </w:r>
          </w:p>
        </w:tc>
        <w:tc>
          <w:tcPr/>
          <w:p>
            <w:pPr>
              <w:pStyle w:val="Compact"/>
              <w:jc w:val="left"/>
            </w:pPr>
            <w:r>
              <w:t xml:space="preserve">-7.28</w:t>
            </w:r>
          </w:p>
        </w:tc>
        <w:tc>
          <w:tcPr/>
          <w:p>
            <w:pPr>
              <w:pStyle w:val="Compact"/>
              <w:jc w:val="left"/>
            </w:pPr>
            <w:r>
              <w:t xml:space="preserve">-23.25%</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31.31</w:t>
            </w:r>
          </w:p>
        </w:tc>
        <w:tc>
          <w:tcPr/>
          <w:p>
            <w:pPr>
              <w:pStyle w:val="Compact"/>
              <w:jc w:val="left"/>
            </w:pPr>
            <w:r>
              <w:rPr>
                <w:bCs/>
                <w:b/>
              </w:rPr>
              <w:t xml:space="preserve">100.00%</w:t>
            </w:r>
          </w:p>
        </w:tc>
      </w:tr>
    </w:tbl>
    <w:p>
      <w:pPr>
        <w:pStyle w:val="BodyText"/>
      </w:pPr>
      <w:r>
        <w:t xml:space="preserve">The total Product Carbon Footprint for one unit of</w:t>
      </w:r>
      <w:r>
        <w:t xml:space="preserve"> </w:t>
      </w:r>
      <w:r>
        <w:rPr>
          <w:bCs/>
          <w:b/>
        </w:rPr>
        <w:t xml:space="preserve">iixsgfjppo</w:t>
      </w:r>
      <w:r>
        <w:t xml:space="preserve"> </w:t>
      </w:r>
      <w:r>
        <w:t xml:space="preserve">is approximately</w:t>
      </w:r>
      <w:r>
        <w:t xml:space="preserve"> </w:t>
      </w:r>
      <w:r>
        <w:rPr>
          <w:bCs/>
          <w:b/>
        </w:rPr>
        <w:t xml:space="preserve">31.31 kg CO2e</w:t>
      </w:r>
      <w:r>
        <w:t xml:space="preserve">.</w:t>
      </w:r>
    </w:p>
    <w:bookmarkStart w:id="40" w:name="hotspot-analysis"/>
    <w:p>
      <w:pPr>
        <w:pStyle w:val="Heading2"/>
      </w:pPr>
      <w:r>
        <w:t xml:space="preserve">4.1. Hotspot Analysis</w:t>
      </w:r>
    </w:p>
    <w:p>
      <w:pPr>
        <w:pStyle w:val="FirstParagraph"/>
      </w:pPr>
      <w:r>
        <w:t xml:space="preserve">The analysis reveals the following key emission hotspots for iixsgfjppo:</w:t>
      </w:r>
    </w:p>
    <w:p>
      <w:pPr>
        <w:numPr>
          <w:ilvl w:val="0"/>
          <w:numId w:val="1012"/>
        </w:numPr>
        <w:pStyle w:val="Compact"/>
      </w:pPr>
      <w:r>
        <w:rPr>
          <w:bCs/>
          <w:b/>
        </w:rPr>
        <w:t xml:space="preserve">Use Phase (63.88%):</w:t>
      </w:r>
      <w:r>
        <w:t xml:space="preserve"> </w:t>
      </w:r>
      <w:r>
        <w:t xml:space="preserve">The most significant contributor to the product\'s PCF is the energy consumption during its use phase. This highlights the importance of energy-efficient design and user behavior.</w:t>
      </w:r>
    </w:p>
    <w:p>
      <w:pPr>
        <w:numPr>
          <w:ilvl w:val="0"/>
          <w:numId w:val="1012"/>
        </w:numPr>
        <w:pStyle w:val="Compact"/>
      </w:pPr>
      <w:r>
        <w:rPr>
          <w:bCs/>
          <w:b/>
        </w:rPr>
        <w:t xml:space="preserve">Materials Acquisition &amp; Pre-processing (43.92%):</w:t>
      </w:r>
      <w:r>
        <w:t xml:space="preserve"> </w:t>
      </w:r>
      <w:r>
        <w:t xml:space="preserve">The production of raw materials, especially steel and ABS plastic as per the illustrative BOM, represents a substantial portion of the footprint. Optimizing material choices, lightweighting, and sourcing materials with lower embodied carbon are crucial.</w:t>
      </w:r>
    </w:p>
    <w:p>
      <w:pPr>
        <w:numPr>
          <w:ilvl w:val="0"/>
          <w:numId w:val="1012"/>
        </w:numPr>
        <w:pStyle w:val="Compact"/>
      </w:pPr>
      <w:r>
        <w:rPr>
          <w:bCs/>
          <w:b/>
        </w:rPr>
        <w:t xml:space="preserve">End-of-Life (Net -23.25%):</w:t>
      </w:r>
      <w:r>
        <w:t xml:space="preserve"> </w:t>
      </w:r>
      <w:r>
        <w:t xml:space="preserve">The robust recyclability and circular programs yield a significant net credit, reducing the overall PCF. Further enhancing recycling rates and material circularity can contribute to even greater reductions.</w:t>
      </w:r>
    </w:p>
    <w:p>
      <w:pPr>
        <w:numPr>
          <w:ilvl w:val="0"/>
          <w:numId w:val="1012"/>
        </w:numPr>
        <w:pStyle w:val="Compact"/>
      </w:pPr>
      <w:r>
        <w:rPr>
          <w:bCs/>
          <w:b/>
        </w:rPr>
        <w:t xml:space="preserve">Logistics (Upstream &amp; Downstream - 13.20% combined):</w:t>
      </w:r>
      <w:r>
        <w:t xml:space="preserve"> </w:t>
      </w:r>
      <w:r>
        <w:t xml:space="preserve">Transportation, particularly last-mile delivery, also contributes notably. Optimization of logistics, including route planning, mode shifting to lower-emission options, and consolidated shipments, can reduce this impact.</w:t>
      </w:r>
    </w:p>
    <w:bookmarkEnd w:id="40"/>
    <w:bookmarkStart w:id="41" w:name="reliability-and-limitations"/>
    <w:p>
      <w:pPr>
        <w:pStyle w:val="Heading2"/>
      </w:pPr>
      <w:r>
        <w:t xml:space="preserve">4.2. Reliability and Limitations</w:t>
      </w:r>
    </w:p>
    <w:p>
      <w:pPr>
        <w:pStyle w:val="FirstParagraph"/>
      </w:pPr>
      <w:r>
        <w:t xml:space="preserve">The reliability of this PCF analysis is contingent upon the accuracy of the provided input parameters and the representativeness of the selected emission factors.</w:t>
      </w:r>
      <w:r>
        <w:t xml:space="preserve"> </w:t>
      </w:r>
      <w:r>
        <w:t xml:space="preserve">As several parameters were provided as illustrative placeholders, a real-world assessment would require specific primary data for each component, process, and logistical step.</w:t>
      </w:r>
      <w:r>
        <w:t xml:space="preserve"> </w:t>
      </w:r>
      <w:r>
        <w:t xml:space="preserve">The emission factors used are industry averages (e.g., from sources like Ecoinvent/DEFRA equivalents) and regional grid mixes, which may vary depending on the exact supplier, technology, and energy source.</w:t>
      </w:r>
      <w:r>
        <w:t xml:space="preserve"> </w:t>
      </w:r>
      <w:r>
        <w:t xml:space="preserve">However, the methodology aligns with GHG Protocol standards, providing a robust framework for understanding the product\'s environmental impact.</w:t>
      </w:r>
    </w:p>
    <w:p>
      <w:r>
        <w:pict>
          <v:rect style="width:0;height:1.5pt" o:hralign="center" o:hrstd="t" o:hr="t"/>
        </w:pict>
      </w:r>
    </w:p>
    <w:bookmarkEnd w:id="41"/>
    <w:bookmarkEnd w:id="42"/>
    <w:bookmarkStart w:id="43" w:name="conclusion-and-recommendations"/>
    <w:p>
      <w:pPr>
        <w:pStyle w:val="Heading1"/>
      </w:pPr>
      <w:r>
        <w:t xml:space="preserve">5. Conclusion and Recommendations</w:t>
      </w:r>
    </w:p>
    <w:p>
      <w:pPr>
        <w:pStyle w:val="FirstParagraph"/>
      </w:pPr>
      <w:r>
        <w:t xml:space="preserve">The Product Carbon Footprint analysis for iixsgfjppo highlights that the use phase and material acquisition are the dominant contributors to its environmental impact.</w:t>
      </w:r>
      <w:r>
        <w:t xml:space="preserve"> </w:t>
      </w:r>
      <w:r>
        <w:t xml:space="preserve">The positive impact of robust End-of-Life circularity programs is evident, demonstrating the value of a circular economy approach.</w:t>
      </w:r>
    </w:p>
    <w:p>
      <w:pPr>
        <w:pStyle w:val="BodyText"/>
      </w:pPr>
      <w:r>
        <w:rPr>
          <w:bCs/>
          <w:b/>
        </w:rPr>
        <w:t xml:space="preserve">Key Recommendations for rtugntwezm:</w:t>
      </w:r>
    </w:p>
    <w:p>
      <w:pPr>
        <w:numPr>
          <w:ilvl w:val="0"/>
          <w:numId w:val="1013"/>
        </w:numPr>
        <w:pStyle w:val="Compact"/>
      </w:pPr>
      <w:r>
        <w:rPr>
          <w:bCs/>
          <w:b/>
        </w:rPr>
        <w:t xml:space="preserve">Energy Efficiency in Use Phase:</w:t>
      </w:r>
      <w:r>
        <w:t xml:space="preserve"> </w:t>
      </w:r>
      <w:r>
        <w:t xml:space="preserve">Focus on product design innovations that significantly reduce energy consumption during the</w:t>
      </w:r>
      <w:r>
        <w:t xml:space="preserve"> </w:t>
      </w:r>
      <w:r>
        <w:rPr>
          <w:rStyle w:val="VerbatimChar"/>
        </w:rPr>
        <w:t xml:space="preserve">ufhvgnrsvo</w:t>
      </w:r>
      <w:r>
        <w:t xml:space="preserve"> </w:t>
      </w:r>
      <w:r>
        <w:t xml:space="preserve">(5 years) lifespan, addressing the largest hotspot. This could involve exploring lower-power components or more efficient operational modes.</w:t>
      </w:r>
    </w:p>
    <w:p>
      <w:pPr>
        <w:numPr>
          <w:ilvl w:val="0"/>
          <w:numId w:val="1013"/>
        </w:numPr>
        <w:pStyle w:val="Compact"/>
      </w:pPr>
      <w:r>
        <w:rPr>
          <w:bCs/>
          <w:b/>
        </w:rPr>
        <w:t xml:space="preserve">Material Optimization:</w:t>
      </w:r>
      <w:r>
        <w:t xml:space="preserve"> </w:t>
      </w:r>
      <w:r>
        <w:t xml:space="preserve">Investigate alternative materials with lower embodied carbon footprints for the main components (e.g., steel, ABS plastic). Engage with suppliers to obtain primary data for material production and explore sourcing from regions with greener production processes.</w:t>
      </w:r>
    </w:p>
    <w:p>
      <w:pPr>
        <w:numPr>
          <w:ilvl w:val="0"/>
          <w:numId w:val="1013"/>
        </w:numPr>
        <w:pStyle w:val="Compact"/>
      </w:pPr>
      <w:r>
        <w:rPr>
          <w:bCs/>
          <w:b/>
        </w:rPr>
        <w:t xml:space="preserve">Strengthen Circularity:</w:t>
      </w:r>
      <w:r>
        <w:t xml:space="preserve"> </w:t>
      </w:r>
      <w:r>
        <w:t xml:space="preserve">Continue to enhance the</w:t>
      </w:r>
      <w:r>
        <w:t xml:space="preserve"> </w:t>
      </w:r>
      <w:r>
        <w:rPr>
          <w:rStyle w:val="VerbatimChar"/>
        </w:rPr>
        <w:t xml:space="preserve">tdhhfxjkzj</w:t>
      </w:r>
      <w:r>
        <w:t xml:space="preserve"> </w:t>
      </w:r>
      <w:r>
        <w:t xml:space="preserve">(75%) recyclability and expand</w:t>
      </w:r>
      <w:r>
        <w:t xml:space="preserve"> </w:t>
      </w:r>
      <w:r>
        <w:rPr>
          <w:rStyle w:val="VerbatimChar"/>
        </w:rPr>
        <w:t xml:space="preserve">vytuhmyird</w:t>
      </w:r>
      <w:r>
        <w:t xml:space="preserve"> </w:t>
      </w:r>
      <w:r>
        <w:t xml:space="preserve">(Established take-back program for key components). Explore closed-loop recycling opportunities to maximize material retention and minimize waste.</w:t>
      </w:r>
    </w:p>
    <w:p>
      <w:pPr>
        <w:numPr>
          <w:ilvl w:val="0"/>
          <w:numId w:val="1013"/>
        </w:numPr>
        <w:pStyle w:val="Compact"/>
      </w:pPr>
      <w:r>
        <w:rPr>
          <w:bCs/>
          <w:b/>
        </w:rPr>
        <w:t xml:space="preserve">Logistics Efficiency:</w:t>
      </w:r>
      <w:r>
        <w:t xml:space="preserve"> </w:t>
      </w:r>
      <w:r>
        <w:t xml:space="preserve">Optimize upstream and downstream transportation by evaluating alternative transport modes (e.g., rail or sea for longer hauls instead of solely road freight), optimizing load factors, and exploring local sourcing where feasible to reduce distances.</w:t>
      </w:r>
    </w:p>
    <w:p>
      <w:pPr>
        <w:numPr>
          <w:ilvl w:val="0"/>
          <w:numId w:val="1013"/>
        </w:numPr>
        <w:pStyle w:val="Compact"/>
      </w:pPr>
      <w:r>
        <w:rPr>
          <w:bCs/>
          <w:b/>
        </w:rPr>
        <w:t xml:space="preserve">Renewable Energy Integration:</w:t>
      </w:r>
      <w:r>
        <w:t xml:space="preserve"> </w:t>
      </w:r>
      <w:r>
        <w:t xml:space="preserve">Further increase the</w:t>
      </w:r>
      <w:r>
        <w:t xml:space="preserve"> </w:t>
      </w:r>
      <w:r>
        <w:rPr>
          <w:rStyle w:val="VerbatimChar"/>
        </w:rPr>
        <w:t xml:space="preserve">izlengexjs</w:t>
      </w:r>
      <w:r>
        <w:t xml:space="preserve"> </w:t>
      </w:r>
      <w:r>
        <w:t xml:space="preserve">(50%) renewable energy usage at the manufacturing facility to reduce Scope 2 emissions, and advocate for renewable energy in the supply chain.</w:t>
      </w:r>
    </w:p>
    <w:p>
      <w:pPr>
        <w:pStyle w:val="FirstParagraph"/>
      </w:pPr>
      <w:r>
        <w:t xml:space="preserve">By implementing these recommendations, rtugntwezm can strategically reduce the environmental impact of iixsgfjppo and demonstrate leadership in product sustainability.</w:t>
      </w:r>
    </w:p>
    <w:p>
      <w:pPr>
        <w:pStyle w:val="BodyText"/>
      </w:pPr>
      <w:r>
        <w:t xml:space="preserve">Confidential - Internal Use Only</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iixsgfjppo</dc:title>
  <dc:creator/>
  <dc:description>Detailed Product Carbon Footprint (PCF) analysis report for product iixsgfjppo by rtugntwezm, adhering to GHG Protocol standards and 2026 updates.</dc:description>
  <dc:language>en</dc:language>
  <cp:keywords/>
  <dcterms:created xsi:type="dcterms:W3CDTF">2026-07-15T03:41:00Z</dcterms:created>
  <dcterms:modified xsi:type="dcterms:W3CDTF">2026-07-15T03:41:00Z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