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ihrqdnizki</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 ihrqdnizki</w:t>
      </w:r>
    </w:p>
    <w:p>
      <w:pPr>
        <w:pStyle w:val="BodyText"/>
      </w:pPr>
      <w:r>
        <w:rPr>
          <w:bCs/>
          <w:b/>
        </w:rPr>
        <w:t xml:space="preserve">Company Name:</w:t>
      </w:r>
      <w:r>
        <w:t xml:space="preserve"> </w:t>
      </w:r>
      <w:r>
        <w:t xml:space="preserve">ozmhusotyf</w:t>
      </w:r>
    </w:p>
    <w:p>
      <w:pPr>
        <w:pStyle w:val="BodyText"/>
      </w:pPr>
      <w:r>
        <w:rPr>
          <w:bCs/>
          <w:b/>
        </w:rPr>
        <w:t xml:space="preserve">Senior Sustainability Consultant:</w:t>
      </w:r>
      <w:r>
        <w:t xml:space="preserve"> </w:t>
      </w:r>
      <w:r>
        <w:t xml:space="preserve">djzdwrtpvf</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employing reasonable assumptions where specific primary data was not provided. The accuracy is dependent on the completeness and reliability of the input parameters.</w:t>
      </w:r>
    </w:p>
    <w:bookmarkEnd w:id="20"/>
    <w:bookmarkStart w:id="53"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ihrqdnizki</w:t>
      </w:r>
      <w:r>
        <w:t xml:space="preserve">, manufactured by</w:t>
      </w:r>
      <w:r>
        <w:t xml:space="preserve"> </w:t>
      </w:r>
      <w:r>
        <w:rPr>
          <w:bCs/>
          <w:b/>
        </w:rPr>
        <w:t xml:space="preserve">ozmhusotyf</w:t>
      </w:r>
      <w:r>
        <w:t xml:space="preserve">. The analysis was conducted by Senior Sustainability Consultant</w:t>
      </w:r>
      <w:r>
        <w:t xml:space="preserve"> </w:t>
      </w:r>
      <w:r>
        <w:rPr>
          <w:bCs/>
          <w:b/>
        </w:rPr>
        <w:t xml:space="preserve">djzdwrtpvf</w:t>
      </w:r>
      <w:r>
        <w:t xml:space="preserve">, adhering to the Greenhouse Gas (GHG) Protocol and incorporating the latest 2026 Land Sector and Removals (LSR) Standard update considerations. The total cradle-to-grave PCF for one functional unit of ihrqdnizki is estimated at</w:t>
      </w:r>
      <w:r>
        <w:t xml:space="preserve"> </w:t>
      </w:r>
      <w:r>
        <w:rPr>
          <w:bCs/>
          <w:b/>
        </w:rPr>
        <w:t xml:space="preserve">25.32 kg CO2e</w:t>
      </w:r>
      <w:r>
        <w:t xml:space="preserve">. The primary hotspots identified are the raw material acquisition and the use phase due to electricity consumption. Recommendations for reduction are focused on material circularity, renewable energy adoption in manufacturing, and optimizing product energy efficiency.</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The objective of this analysis is to quantify the greenhouse gas (GHG) emissions associated with the entire lifecycle of the product</w:t>
      </w:r>
      <w:r>
        <w:t xml:space="preserve"> </w:t>
      </w:r>
      <w:r>
        <w:rPr>
          <w:bCs/>
          <w:b/>
        </w:rPr>
        <w:t xml:space="preserve">ihrqdnizki</w:t>
      </w:r>
      <w:r>
        <w:t xml:space="preserve">. This assessment provides</w:t>
      </w:r>
      <w:r>
        <w:t xml:space="preserve"> </w:t>
      </w:r>
      <w:r>
        <w:rPr>
          <w:bCs/>
          <w:b/>
        </w:rPr>
        <w:t xml:space="preserve">ozmhusotyf</w:t>
      </w:r>
      <w:r>
        <w:t xml:space="preserve"> </w:t>
      </w:r>
      <w:r>
        <w:t xml:space="preserve">with critical insights into its environmental impact, identifies carbon hotspots, and informs strategies for decarbonization. The study strictly follows the principles and requirements of the GHG Protocol, with an emphasis on comprehensive Scope 3 reporting and consideration of the recently introduced LSR Standard.</w:t>
      </w:r>
    </w:p>
    <w:p>
      <w:pPr>
        <w:pStyle w:val="BodyText"/>
      </w:pPr>
      <w:r>
        <w:rPr>
          <w:bCs/>
          <w:b/>
        </w:rPr>
        <w:t xml:space="preserve">Product:</w:t>
      </w:r>
      <w:r>
        <w:t xml:space="preserve"> </w:t>
      </w:r>
      <w:r>
        <w:t xml:space="preserve">ihrqdnizki</w:t>
      </w:r>
    </w:p>
    <w:p>
      <w:pPr>
        <w:pStyle w:val="BodyText"/>
      </w:pPr>
      <w:r>
        <w:rPr>
          <w:bCs/>
          <w:b/>
        </w:rPr>
        <w:t xml:space="preserve">Company Name:</w:t>
      </w:r>
      <w:r>
        <w:t xml:space="preserve"> </w:t>
      </w:r>
      <w:r>
        <w:t xml:space="preserve">ozmhusotyf</w:t>
      </w:r>
    </w:p>
    <w:p>
      <w:pPr>
        <w:pStyle w:val="BodyText"/>
      </w:pPr>
      <w:r>
        <w:rPr>
          <w:bCs/>
          <w:b/>
        </w:rPr>
        <w:t xml:space="preserve">Senior Sustainability Consultant:</w:t>
      </w:r>
      <w:r>
        <w:t xml:space="preserve"> </w:t>
      </w:r>
      <w:r>
        <w:t xml:space="preserve">djzdwrtpvf</w:t>
      </w:r>
    </w:p>
    <w:p>
      <w:pPr>
        <w:pStyle w:val="BodyText"/>
      </w:pPr>
      <w:r>
        <w:rPr>
          <w:bCs/>
          <w:b/>
        </w:rPr>
        <w:t xml:space="preserve">Accounting Standard:</w:t>
      </w:r>
      <w:r>
        <w:t xml:space="preserve"> </w:t>
      </w:r>
      <w:r>
        <w:t xml:space="preserve">GHG Protocol</w:t>
      </w:r>
    </w:p>
    <w:p>
      <w:r>
        <w:pict>
          <v:rect style="width:0;height:1.5pt" o:hralign="center" o:hrstd="t" o:hr="t"/>
        </w:pict>
      </w:r>
    </w:p>
    <w:bookmarkEnd w:id="22"/>
    <w:bookmarkStart w:id="33" w:name="methodology"/>
    <w:p>
      <w:pPr>
        <w:pStyle w:val="Heading2"/>
      </w:pPr>
      <w:r>
        <w:t xml:space="preserve">2. Methodology</w:t>
      </w:r>
    </w:p>
    <w:p>
      <w:pPr>
        <w:pStyle w:val="FirstParagraph"/>
      </w:pPr>
      <w:r>
        <w:t xml:space="preserve">The Product Carbon Footprint (PCF) analysis for ihrqdnizki follows a structured five-step methodology in accordance with the GHG Protocol Product Standard, employing a cradle-to-grave approach for comprehensive lifecycle assessment.</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ihrqdnizki.</w:t>
      </w:r>
    </w:p>
    <w:p>
      <w:pPr>
        <w:numPr>
          <w:ilvl w:val="0"/>
          <w:numId w:val="1001"/>
        </w:numPr>
        <w:pStyle w:val="Compact"/>
      </w:pPr>
      <w:r>
        <w:rPr>
          <w:bCs/>
          <w:b/>
        </w:rPr>
        <w:t xml:space="preserve">System Boundary:</w:t>
      </w:r>
      <w:r>
        <w:t xml:space="preserve"> </w:t>
      </w:r>
      <w:r>
        <w:t xml:space="preserve">While the primary reporting entity\'s direct operational boundary is "factory_gate", the product carbon footprint analysis encompasses a "cradle-to-grave" approach, including raw material acquisition, manufacturing, transport, use phase, and end-of-life treatment, as explicitly requested by the detailed requirements. This provides a holistic view of the product\'s environmental impact across its entire value chain.</w:t>
      </w:r>
    </w:p>
    <w:p>
      <w:pPr>
        <w:numPr>
          <w:ilvl w:val="0"/>
          <w:numId w:val="1001"/>
        </w:numPr>
        <w:pStyle w:val="Compact"/>
      </w:pPr>
      <w:r>
        <w:rPr>
          <w:bCs/>
          <w:b/>
        </w:rPr>
        <w:t xml:space="preserve">Geographic Scope:</w:t>
      </w:r>
      <w:r>
        <w:t xml:space="preserve"> </w:t>
      </w:r>
      <w:r>
        <w:t xml:space="preserve">Final Production Country: China, with a Supply Chain Focus on Europe for upstream activities and global for generic materials.</w:t>
      </w:r>
    </w:p>
    <w:p>
      <w:pPr>
        <w:numPr>
          <w:ilvl w:val="0"/>
          <w:numId w:val="1001"/>
        </w:numPr>
        <w:pStyle w:val="Compact"/>
      </w:pPr>
      <w:r>
        <w:rPr>
          <w:bCs/>
          <w:b/>
        </w:rPr>
        <w:t xml:space="preserve">Allocation:</w:t>
      </w:r>
      <w:r>
        <w:t xml:space="preserve"> </w:t>
      </w:r>
      <w:r>
        <w:t xml:space="preserve">Emissions are allocated directly to the functional unit based on mass and energy inputs.</w:t>
      </w:r>
    </w:p>
    <w:p>
      <w:pPr>
        <w:numPr>
          <w:ilvl w:val="0"/>
          <w:numId w:val="1001"/>
        </w:numPr>
        <w:pStyle w:val="Compact"/>
      </w:pPr>
      <w:r>
        <w:rPr>
          <w:bCs/>
          <w:b/>
        </w:rPr>
        <w:t xml:space="preserve">Accounting Standard Adherence (GHG Protocol):</w:t>
      </w:r>
    </w:p>
    <w:p>
      <w:pPr>
        <w:numPr>
          <w:ilvl w:val="1"/>
          <w:numId w:val="1002"/>
        </w:numPr>
        <w:pStyle w:val="Compact"/>
      </w:pPr>
      <w:r>
        <w:rPr>
          <w:bCs/>
          <w:b/>
        </w:rPr>
        <w:t xml:space="preserve">Scope 1 (Direct Emissions):</w:t>
      </w:r>
      <w:r>
        <w:t xml:space="preserve"> </w:t>
      </w:r>
      <w:r>
        <w:t xml:space="preserve">GHG emissions from sources owned or controlled by</w:t>
      </w:r>
      <w:r>
        <w:t xml:space="preserve"> </w:t>
      </w:r>
      <w:r>
        <w:rPr>
          <w:bCs/>
          <w:b/>
        </w:rPr>
        <w:t xml:space="preserve">ozmhusotyf</w:t>
      </w:r>
      <w:r>
        <w:t xml:space="preserve"> </w:t>
      </w:r>
      <w:r>
        <w:t xml:space="preserve">(e.g., fuel combustion in company-owned vehicles or manufacturing processes on-site).</w:t>
      </w:r>
    </w:p>
    <w:p>
      <w:pPr>
        <w:numPr>
          <w:ilvl w:val="1"/>
          <w:numId w:val="1002"/>
        </w:numPr>
        <w:pStyle w:val="Compact"/>
      </w:pPr>
      <w:r>
        <w:rPr>
          <w:bCs/>
          <w:b/>
        </w:rPr>
        <w:t xml:space="preserve">Scope 2 (Indirect Energy Emissions):</w:t>
      </w:r>
      <w:r>
        <w:t xml:space="preserve"> </w:t>
      </w:r>
      <w:r>
        <w:t xml:space="preserve">GHG emissions from the generation of purchased electricity, heat, or steam consumed by</w:t>
      </w:r>
      <w:r>
        <w:t xml:space="preserve"> </w:t>
      </w:r>
      <w:r>
        <w:rPr>
          <w:bCs/>
          <w:b/>
        </w:rPr>
        <w:t xml:space="preserve">ozmhusotyf</w:t>
      </w:r>
      <w:r>
        <w:t xml:space="preserve"> </w:t>
      </w:r>
      <w:r>
        <w:t xml:space="preserve">(e.g., electricity used in the manufacturing facility).</w:t>
      </w:r>
    </w:p>
    <w:p>
      <w:pPr>
        <w:numPr>
          <w:ilvl w:val="1"/>
          <w:numId w:val="1002"/>
        </w:numPr>
        <w:pStyle w:val="Compact"/>
      </w:pPr>
      <w:r>
        <w:rPr>
          <w:bCs/>
          <w:b/>
        </w:rPr>
        <w:t xml:space="preserve">Scope 3 (Other Indirect Emissions):</w:t>
      </w:r>
      <w:r>
        <w:t xml:space="preserve"> </w:t>
      </w:r>
      <w:r>
        <w:t xml:space="preserve">All other indirect emissions occurring in the value chain, both upstream and downstream, not covered in Scope 2. This includes emissions from purchased goods and services (raw materials), upstream and downstream transportation and distribution, the use of sold products, and the end-of-life treatment of sold products.</w:t>
      </w:r>
    </w:p>
    <w:p>
      <w:pPr>
        <w:numPr>
          <w:ilvl w:val="0"/>
          <w:numId w:val="1001"/>
        </w:numPr>
        <w:pStyle w:val="Compact"/>
      </w:pPr>
      <w:r>
        <w:rPr>
          <w:bCs/>
          <w:b/>
        </w:rPr>
        <w:t xml:space="preserve">2026 LSR Update Application:</w:t>
      </w:r>
      <w:r>
        <w:t xml:space="preserve"> </w:t>
      </w:r>
      <w:r>
        <w:t xml:space="preserve">The Land Sector and Removals (LSR) Standard, effective January 1, 2027, provides guidance for accounting and reporting land emissions, CO2 removals, and biogenic products. For ihrqdnizki, a manufactured product, direct land-use change or specific carbon removal projects are not explicitly part of the provided data parameters. Therefore, while its applicability for companies with significant land sector activities is acknowledged, a detailed quantification under LSR is not performed in this analysis due to the absence of specific land-use related primary data for the product\'s value chain. The company should assess upstream agricultural or forestry-based material sourcing against this standard when specific data becomes available.</w:t>
      </w:r>
    </w:p>
    <w:bookmarkEnd w:id="23"/>
    <w:bookmarkStart w:id="24" w:name="map-lifecycle-lci-inventory-stages"/>
    <w:p>
      <w:pPr>
        <w:pStyle w:val="Heading3"/>
      </w:pPr>
      <w:r>
        <w:t xml:space="preserve">2.2. Map Lifecycle (LCI Inventory Stages)</w:t>
      </w:r>
    </w:p>
    <w:p>
      <w:pPr>
        <w:pStyle w:val="FirstParagraph"/>
      </w:pPr>
      <w:r>
        <w:t xml:space="preserve">The lifecycle of ihrqdnizki is mapped across five main stages:</w:t>
      </w:r>
    </w:p>
    <w:p>
      <w:pPr>
        <w:numPr>
          <w:ilvl w:val="0"/>
          <w:numId w:val="1003"/>
        </w:numPr>
        <w:pStyle w:val="Compact"/>
      </w:pPr>
      <w:r>
        <w:rPr>
          <w:bCs/>
          <w:b/>
        </w:rPr>
        <w:t xml:space="preserve">Raw Material Acquisition:</w:t>
      </w:r>
      <w:r>
        <w:t xml:space="preserve"> </w:t>
      </w:r>
      <w:r>
        <w:t xml:space="preserve">Extraction and processing of all input materials.</w:t>
      </w:r>
    </w:p>
    <w:p>
      <w:pPr>
        <w:numPr>
          <w:ilvl w:val="0"/>
          <w:numId w:val="1003"/>
        </w:numPr>
        <w:pStyle w:val="Compact"/>
      </w:pPr>
      <w:r>
        <w:rPr>
          <w:bCs/>
          <w:b/>
        </w:rPr>
        <w:t xml:space="preserve">Manufacturing:</w:t>
      </w:r>
      <w:r>
        <w:t xml:space="preserve"> </w:t>
      </w:r>
      <w:r>
        <w:t xml:space="preserve">Production processes at</w:t>
      </w:r>
      <w:r>
        <w:t xml:space="preserve"> </w:t>
      </w:r>
      <w:r>
        <w:rPr>
          <w:bCs/>
          <w:b/>
        </w:rPr>
        <w:t xml:space="preserve">ozmhusotyf</w:t>
      </w:r>
      <w:r>
        <w:t xml:space="preserve">\'s facility in China.</w:t>
      </w:r>
    </w:p>
    <w:p>
      <w:pPr>
        <w:numPr>
          <w:ilvl w:val="0"/>
          <w:numId w:val="1003"/>
        </w:numPr>
        <w:pStyle w:val="Compact"/>
      </w:pPr>
      <w:r>
        <w:rPr>
          <w:bCs/>
          <w:b/>
        </w:rPr>
        <w:t xml:space="preserve">Transport &amp; Distribution:</w:t>
      </w:r>
      <w:r>
        <w:t xml:space="preserve"> </w:t>
      </w:r>
      <w:r>
        <w:t xml:space="preserve">Upstream transport of materials to the factory and downstream transport of the finished product to the customer.</w:t>
      </w:r>
    </w:p>
    <w:p>
      <w:pPr>
        <w:numPr>
          <w:ilvl w:val="0"/>
          <w:numId w:val="1003"/>
        </w:numPr>
        <w:pStyle w:val="Compact"/>
      </w:pPr>
      <w:r>
        <w:rPr>
          <w:bCs/>
          <w:b/>
        </w:rPr>
        <w:t xml:space="preserve">Use Phase:</w:t>
      </w:r>
      <w:r>
        <w:t xml:space="preserve"> </w:t>
      </w:r>
      <w:r>
        <w:t xml:space="preserve">Energy consumption during the product\'s lifespan.</w:t>
      </w:r>
    </w:p>
    <w:p>
      <w:pPr>
        <w:numPr>
          <w:ilvl w:val="0"/>
          <w:numId w:val="1003"/>
        </w:numPr>
        <w:pStyle w:val="Compact"/>
      </w:pPr>
      <w:r>
        <w:rPr>
          <w:bCs/>
          <w:b/>
        </w:rPr>
        <w:t xml:space="preserve">End-of-Life:</w:t>
      </w:r>
      <w:r>
        <w:t xml:space="preserve"> </w:t>
      </w:r>
      <w:r>
        <w:t xml:space="preserve">Disposal, recycling, or recovery of the product at the end of its useful life.</w:t>
      </w:r>
    </w:p>
    <w:bookmarkEnd w:id="24"/>
    <w:bookmarkStart w:id="30" w:name="Xb57f50a89bf1f3f1837369be949d9d60d6c1272"/>
    <w:p>
      <w:pPr>
        <w:pStyle w:val="Heading3"/>
      </w:pPr>
      <w:r>
        <w:t xml:space="preserve">2.3. Collect Data (Primary/Secondary Data Points)</w:t>
      </w:r>
    </w:p>
    <w:p>
      <w:pPr>
        <w:pStyle w:val="FirstParagraph"/>
      </w:pPr>
      <w:r>
        <w:t xml:space="preserve">Data collection involved utilizing both primary data provided for specific parameters and secondary, industry-average emission factors where primary data was unavailable.</w:t>
      </w:r>
    </w:p>
    <w:bookmarkStart w:id="25" w:name="Xdb7afaa4a34f424cf832268f53d117a158a4c0f"/>
    <w:p>
      <w:pPr>
        <w:pStyle w:val="Heading4"/>
      </w:pPr>
      <w:r>
        <w:t xml:space="preserve">2.3.1. Detailed Bill of Materials (BOM) - hmnyfqkh</w:t>
      </w:r>
    </w:p>
    <w:p>
      <w:pPr>
        <w:pStyle w:val="FirstParagraph"/>
      </w:pPr>
      <w:r>
        <w:t xml:space="preserve">The following detailed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ABS Granule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Copper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0.200</w:t>
            </w:r>
          </w:p>
        </w:tc>
      </w:tr>
      <w:tr>
        <w:tc>
          <w:tcPr/>
          <w:p>
            <w:pPr>
              <w:pStyle w:val="Compact"/>
              <w:jc w:val="left"/>
            </w:pPr>
            <w:r>
              <w:t xml:space="preserve">M004</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1.000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Battery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3.000</w:t>
            </w:r>
          </w:p>
        </w:tc>
      </w:tr>
    </w:tbl>
    <w:bookmarkEnd w:id="25"/>
    <w:bookmarkStart w:id="26" w:name="energy-inputs-manufacturing-phase"/>
    <w:p>
      <w:pPr>
        <w:pStyle w:val="Heading4"/>
      </w:pPr>
      <w:r>
        <w:t xml:space="preserve">2.3.2. Energy Inputs (Manufacturing Phase)</w:t>
      </w:r>
    </w:p>
    <w:p>
      <w:pPr>
        <w:numPr>
          <w:ilvl w:val="0"/>
          <w:numId w:val="1004"/>
        </w:numPr>
        <w:pStyle w:val="Compact"/>
      </w:pPr>
      <w:r>
        <w:rPr>
          <w:bCs/>
          <w:b/>
        </w:rPr>
        <w:t xml:space="preserve">Renewable Energy Usage (flreifrslo):</w:t>
      </w:r>
      <w:r>
        <w:t xml:space="preserve"> </w:t>
      </w:r>
      <w:r>
        <w:t xml:space="preserve">60%</w:t>
      </w:r>
    </w:p>
    <w:p>
      <w:pPr>
        <w:numPr>
          <w:ilvl w:val="0"/>
          <w:numId w:val="1004"/>
        </w:numPr>
        <w:pStyle w:val="Compact"/>
      </w:pPr>
      <w:r>
        <w:rPr>
          <w:bCs/>
          <w:b/>
        </w:rPr>
        <w:t xml:space="preserve">Energy Intensity (yddddfnqdu):</w:t>
      </w:r>
      <w:r>
        <w:t xml:space="preserve"> </w:t>
      </w:r>
      <w:r>
        <w:t xml:space="preserve">25 kWh/unit</w:t>
      </w:r>
    </w:p>
    <w:p>
      <w:pPr>
        <w:numPr>
          <w:ilvl w:val="0"/>
          <w:numId w:val="1004"/>
        </w:numPr>
        <w:pStyle w:val="Compact"/>
      </w:pPr>
      <w:r>
        <w:rPr>
          <w:bCs/>
          <w:b/>
        </w:rPr>
        <w:t xml:space="preserve">China Grid Emission Factor:</w:t>
      </w:r>
      <w:r>
        <w:t xml:space="preserve"> </w:t>
      </w:r>
      <w:r>
        <w:t xml:space="preserve">0.6205 kg CO2e/kWh (for non-renewable electricity)</w:t>
      </w:r>
    </w:p>
    <w:p>
      <w:pPr>
        <w:numPr>
          <w:ilvl w:val="0"/>
          <w:numId w:val="1004"/>
        </w:numPr>
        <w:pStyle w:val="Compact"/>
      </w:pPr>
      <w:r>
        <w:rPr>
          <w:bCs/>
          <w:b/>
        </w:rPr>
        <w:t xml:space="preserve">Renewable Energy Emission Factor (Market-based, Use-phase):</w:t>
      </w:r>
      <w:r>
        <w:t xml:space="preserve"> </w:t>
      </w:r>
      <w:r>
        <w:t xml:space="preserve">0 kg CO2e/kWh (for purchased certified renewable electricity)</w:t>
      </w:r>
    </w:p>
    <w:bookmarkEnd w:id="26"/>
    <w:bookmarkStart w:id="27" w:name="logistics-data-transport-distribution"/>
    <w:p>
      <w:pPr>
        <w:pStyle w:val="Heading4"/>
      </w:pPr>
      <w:r>
        <w:t xml:space="preserve">2.3.3. Logistics Data (Transport &amp; Distribution)</w:t>
      </w:r>
    </w:p>
    <w:p>
      <w:pPr>
        <w:numPr>
          <w:ilvl w:val="0"/>
          <w:numId w:val="1005"/>
        </w:numPr>
        <w:pStyle w:val="Compact"/>
      </w:pPr>
      <w:r>
        <w:rPr>
          <w:bCs/>
          <w:b/>
        </w:rPr>
        <w:t xml:space="preserve">Transport Mode (Select Mode):</w:t>
      </w:r>
      <w:r>
        <w:t xml:space="preserve"> </w:t>
      </w:r>
      <w:r>
        <w:t xml:space="preserve">Road (Heavy Goods Vehicle &gt; 16t)</w:t>
      </w:r>
    </w:p>
    <w:p>
      <w:pPr>
        <w:numPr>
          <w:ilvl w:val="0"/>
          <w:numId w:val="1005"/>
        </w:numPr>
        <w:pStyle w:val="Compact"/>
      </w:pPr>
      <w:r>
        <w:rPr>
          <w:bCs/>
          <w:b/>
        </w:rPr>
        <w:t xml:space="preserve">Transport Distance (yfuvtkwyrz):</w:t>
      </w:r>
      <w:r>
        <w:t xml:space="preserve"> </w:t>
      </w:r>
      <w:r>
        <w:t xml:space="preserve">1500 km (Upstream and Downstream)</w:t>
      </w:r>
    </w:p>
    <w:p>
      <w:pPr>
        <w:numPr>
          <w:ilvl w:val="0"/>
          <w:numId w:val="1005"/>
        </w:numPr>
        <w:pStyle w:val="Compact"/>
      </w:pPr>
      <w:r>
        <w:rPr>
          <w:bCs/>
          <w:b/>
        </w:rPr>
        <w:t xml:space="preserve">Transport Emission Factor (HGV):</w:t>
      </w:r>
      <w:r>
        <w:t xml:space="preserve"> </w:t>
      </w:r>
      <w:r>
        <w:t xml:space="preserve">0.129 kg CO2e/tkm</w:t>
      </w:r>
    </w:p>
    <w:p>
      <w:pPr>
        <w:numPr>
          <w:ilvl w:val="0"/>
          <w:numId w:val="1005"/>
        </w:numPr>
        <w:pStyle w:val="Compact"/>
      </w:pPr>
      <w:r>
        <w:rPr>
          <w:bCs/>
          <w:b/>
        </w:rPr>
        <w:t xml:space="preserve">Last-Mile Delivery Channel (Delivery Type):</w:t>
      </w:r>
      <w:r>
        <w:t xml:space="preserve"> </w:t>
      </w:r>
      <w:r>
        <w:t xml:space="preserve">Light Commercial Vehicle</w:t>
      </w:r>
    </w:p>
    <w:p>
      <w:pPr>
        <w:numPr>
          <w:ilvl w:val="0"/>
          <w:numId w:val="1005"/>
        </w:numPr>
        <w:pStyle w:val="Compact"/>
      </w:pPr>
      <w:r>
        <w:rPr>
          <w:bCs/>
          <w:b/>
        </w:rPr>
        <w:t xml:space="preserve">Assumed Last-Mile Delivery Distance:</w:t>
      </w:r>
      <w:r>
        <w:t xml:space="preserve"> </w:t>
      </w:r>
      <w:r>
        <w:t xml:space="preserve">100 km</w:t>
      </w:r>
    </w:p>
    <w:p>
      <w:pPr>
        <w:numPr>
          <w:ilvl w:val="0"/>
          <w:numId w:val="1005"/>
        </w:numPr>
        <w:pStyle w:val="Compact"/>
      </w:pPr>
      <w:r>
        <w:rPr>
          <w:bCs/>
          <w:b/>
        </w:rPr>
        <w:t xml:space="preserve">Last-Mile Delivery Emission Factor (LCV):</w:t>
      </w:r>
      <w:r>
        <w:t xml:space="preserve"> </w:t>
      </w:r>
      <w:r>
        <w:t xml:space="preserve">0.245 kg CO2e/tkm</w:t>
      </w:r>
    </w:p>
    <w:p>
      <w:pPr>
        <w:numPr>
          <w:ilvl w:val="0"/>
          <w:numId w:val="1005"/>
        </w:numPr>
        <w:pStyle w:val="Compact"/>
      </w:pPr>
      <w:r>
        <w:rPr>
          <w:bCs/>
          <w:b/>
        </w:rPr>
        <w:t xml:space="preserve">Total Product Weight:</w:t>
      </w:r>
      <w:r>
        <w:t xml:space="preserve"> </w:t>
      </w:r>
      <w:r>
        <w:t xml:space="preserve">1.15 kg (based on BOM quantities)</w:t>
      </w:r>
    </w:p>
    <w:bookmarkEnd w:id="27"/>
    <w:bookmarkStart w:id="28" w:name="use-phase-data"/>
    <w:p>
      <w:pPr>
        <w:pStyle w:val="Heading4"/>
      </w:pPr>
      <w:r>
        <w:t xml:space="preserve">2.3.4. Use Phase Data</w:t>
      </w:r>
    </w:p>
    <w:p>
      <w:pPr>
        <w:numPr>
          <w:ilvl w:val="0"/>
          <w:numId w:val="1006"/>
        </w:numPr>
        <w:pStyle w:val="Compact"/>
      </w:pPr>
      <w:r>
        <w:rPr>
          <w:bCs/>
          <w:b/>
        </w:rPr>
        <w:t xml:space="preserve">Product Lifespan (kpggjnqeef):</w:t>
      </w:r>
      <w:r>
        <w:t xml:space="preserve"> </w:t>
      </w:r>
      <w:r>
        <w:t xml:space="preserve">7 years</w:t>
      </w:r>
    </w:p>
    <w:p>
      <w:pPr>
        <w:numPr>
          <w:ilvl w:val="0"/>
          <w:numId w:val="1006"/>
        </w:numPr>
        <w:pStyle w:val="Compact"/>
      </w:pPr>
      <w:r>
        <w:rPr>
          <w:bCs/>
          <w:b/>
        </w:rPr>
        <w:t xml:space="preserve">Energy Consumption in Use (hmwigkdjqs):</w:t>
      </w:r>
      <w:r>
        <w:t xml:space="preserve"> </w:t>
      </w:r>
      <w:r>
        <w:t xml:space="preserve">15 kWh/year</w:t>
      </w:r>
    </w:p>
    <w:p>
      <w:pPr>
        <w:numPr>
          <w:ilvl w:val="0"/>
          <w:numId w:val="1006"/>
        </w:numPr>
        <w:pStyle w:val="Compact"/>
      </w:pPr>
      <w:r>
        <w:rPr>
          <w:bCs/>
          <w:b/>
        </w:rPr>
        <w:t xml:space="preserve">Electricity Emission Factor for Use Phase (China):</w:t>
      </w:r>
      <w:r>
        <w:t xml:space="preserve"> </w:t>
      </w:r>
      <w:r>
        <w:t xml:space="preserve">0.6205 kg CO2e/kWh (assuming average grid mix for end-user)</w:t>
      </w:r>
    </w:p>
    <w:bookmarkEnd w:id="28"/>
    <w:bookmarkStart w:id="29" w:name="end-of-life-eol-scenarios"/>
    <w:p>
      <w:pPr>
        <w:pStyle w:val="Heading4"/>
      </w:pPr>
      <w:r>
        <w:t xml:space="preserve">2.3.5. End-of-Life (EoL) Scenarios</w:t>
      </w:r>
    </w:p>
    <w:p>
      <w:pPr>
        <w:numPr>
          <w:ilvl w:val="0"/>
          <w:numId w:val="1007"/>
        </w:numPr>
        <w:pStyle w:val="Compact"/>
      </w:pPr>
      <w:r>
        <w:rPr>
          <w:bCs/>
          <w:b/>
        </w:rPr>
        <w:t xml:space="preserve">Recyclability Percentage (ztmdlehpwd):</w:t>
      </w:r>
      <w:r>
        <w:t xml:space="preserve"> </w:t>
      </w:r>
      <w:r>
        <w:t xml:space="preserve">85%</w:t>
      </w:r>
    </w:p>
    <w:p>
      <w:pPr>
        <w:numPr>
          <w:ilvl w:val="0"/>
          <w:numId w:val="1007"/>
        </w:numPr>
        <w:pStyle w:val="Compact"/>
      </w:pPr>
      <w:r>
        <w:rPr>
          <w:bCs/>
          <w:b/>
        </w:rPr>
        <w:t xml:space="preserve">Circular/Take-back Programs (gqpjlyuhgs):</w:t>
      </w:r>
      <w:r>
        <w:t xml:space="preserve"> </w:t>
      </w:r>
      <w:r>
        <w:t xml:space="preserve">Yes, established take-back and refurbishment program.</w:t>
      </w:r>
    </w:p>
    <w:p>
      <w:pPr>
        <w:numPr>
          <w:ilvl w:val="0"/>
          <w:numId w:val="1007"/>
        </w:numPr>
        <w:pStyle w:val="Compact"/>
      </w:pPr>
      <w:r>
        <w:rPr>
          <w:bCs/>
          <w:b/>
        </w:rPr>
        <w:t xml:space="preserve">Disposal Emission Factor (Non-recycled):</w:t>
      </w:r>
      <w:r>
        <w:t xml:space="preserve"> </w:t>
      </w:r>
      <w:r>
        <w:t xml:space="preserve">1.5 kg CO2e/kg (illustrative for mixed waste to landfill/incineration)</w:t>
      </w:r>
    </w:p>
    <w:p>
      <w:pPr>
        <w:numPr>
          <w:ilvl w:val="0"/>
          <w:numId w:val="1007"/>
        </w:numPr>
        <w:pStyle w:val="Compact"/>
      </w:pPr>
      <w:r>
        <w:rPr>
          <w:bCs/>
          <w:b/>
        </w:rPr>
        <w:t xml:space="preserve">Recycling Credit (e.g., Aluminum):</w:t>
      </w:r>
      <w:r>
        <w:t xml:space="preserve"> </w:t>
      </w:r>
      <w:r>
        <w:t xml:space="preserve">94% less carbon intensive than primary production for recycled aluminum. A general avoided burden approach of 50% of primary material impact is assumed for other recycled materials.</w:t>
      </w:r>
    </w:p>
    <w:bookmarkEnd w:id="29"/>
    <w:bookmarkEnd w:id="30"/>
    <w:bookmarkStart w:id="31" w:name="Xb404f6bea4a0013006ec7a9103609d9ea6643c1"/>
    <w:p>
      <w:pPr>
        <w:pStyle w:val="Heading3"/>
      </w:pPr>
      <w:r>
        <w:t xml:space="preserve">2.4. Calculate Emissions (Activity * Emission Factor = CO2e)</w:t>
      </w:r>
    </w:p>
    <w:p>
      <w:pPr>
        <w:pStyle w:val="FirstParagraph"/>
      </w:pPr>
      <w:r>
        <w:t xml:space="preserve">Emissions are calculated for each life cycle stage and categorized by GHG Protocol scopes.</w:t>
      </w:r>
    </w:p>
    <w:bookmarkEnd w:id="31"/>
    <w:bookmarkStart w:id="32" w:name="review-report"/>
    <w:p>
      <w:pPr>
        <w:pStyle w:val="Heading3"/>
      </w:pPr>
      <w:r>
        <w:t xml:space="preserve">2.5. Review &amp; Report</w:t>
      </w:r>
    </w:p>
    <w:p>
      <w:pPr>
        <w:pStyle w:val="FirstParagraph"/>
      </w:pPr>
      <w:r>
        <w:t xml:space="preserve">The final step involves identifying carbon hotspots, assessing data reliability, and presenting the findings with actionable recommendations.</w:t>
      </w:r>
    </w:p>
    <w:p>
      <w:r>
        <w:pict>
          <v:rect style="width:0;height:1.5pt" o:hralign="center" o:hrstd="t" o:hr="t"/>
        </w:pict>
      </w:r>
    </w:p>
    <w:bookmarkEnd w:id="32"/>
    <w:bookmarkEnd w:id="33"/>
    <w:bookmarkStart w:id="46" w:name="product-carbon-footprint-calculation"/>
    <w:p>
      <w:pPr>
        <w:pStyle w:val="Heading2"/>
      </w:pPr>
      <w:r>
        <w:t xml:space="preserve">3. Product Carbon Footprint Calculation</w:t>
      </w:r>
    </w:p>
    <w:bookmarkStart w:id="34" w:name="Xedc070163f9dffe1efcc12ebc29b95bf2d5d447"/>
    <w:p>
      <w:pPr>
        <w:pStyle w:val="Heading3"/>
      </w:pPr>
      <w:r>
        <w:t xml:space="preserve">3.1. Raw Material Acquisition (Upstream Scope 3, Category 1: Purchased Goods and Services)</w:t>
      </w:r>
    </w:p>
    <w:p>
      <w:pPr>
        <w:pStyle w:val="FirstParagraph"/>
      </w:pPr>
      <w:r>
        <w:t xml:space="preserve">This stage accounts for the emissions from the extraction and processing of raw materials as per the detailed BOM.</w:t>
      </w:r>
    </w:p>
    <w:p>
      <w:pPr>
        <w:numPr>
          <w:ilvl w:val="0"/>
          <w:numId w:val="1008"/>
        </w:numPr>
        <w:pStyle w:val="Compact"/>
      </w:pPr>
      <w:r>
        <w:t xml:space="preserve">Total emissions from raw materials = Sum of "Total Carbon" from BOM table.</w:t>
      </w:r>
    </w:p>
    <w:p>
      <w:pPr>
        <w:numPr>
          <w:ilvl w:val="0"/>
          <w:numId w:val="1008"/>
        </w:numPr>
        <w:pStyle w:val="Compact"/>
      </w:pPr>
      <w:r>
        <w:t xml:space="preserve">Total Material Emissions = 7.385 + 1.050 + 0.200 + 1.000 + 3.000 =</w:t>
      </w:r>
      <w:r>
        <w:t xml:space="preserve"> </w:t>
      </w:r>
      <w:r>
        <w:rPr>
          <w:bCs/>
          <w:b/>
        </w:rPr>
        <w:t xml:space="preserve">12.635 kg CO2e</w:t>
      </w:r>
    </w:p>
    <w:bookmarkEnd w:id="34"/>
    <w:bookmarkStart w:id="37" w:name="manufacturing-scope-1-and-scope-2"/>
    <w:p>
      <w:pPr>
        <w:pStyle w:val="Heading3"/>
      </w:pPr>
      <w:r>
        <w:t xml:space="preserve">3.2. Manufacturing (Scope 1 and Scope 2)</w:t>
      </w:r>
    </w:p>
    <w:p>
      <w:pPr>
        <w:pStyle w:val="FirstParagraph"/>
      </w:pPr>
      <w:r>
        <w:t xml:space="preserve">Emissions from the manufacturing process in China are split into direct (Scope 1) and indirect from purchased electricity (Scope 2).</w:t>
      </w:r>
    </w:p>
    <w:bookmarkStart w:id="35" w:name="scope-1-emissions-direct"/>
    <w:p>
      <w:pPr>
        <w:pStyle w:val="Heading4"/>
      </w:pPr>
      <w:r>
        <w:t xml:space="preserve">3.2.1. Scope 1 Emissions (Direct)</w:t>
      </w:r>
    </w:p>
    <w:p>
      <w:pPr>
        <w:pStyle w:val="FirstParagraph"/>
      </w:pPr>
      <w:r>
        <w:t xml:space="preserve">For this PCF analysis, direct operational emissions (e.g., on-site fuel combustion) are assumed to be negligible or covered by Scope 2 electricity for the "factory_gate" boundary if not explicitly provided as separate fuel consumption data. If such data were available, it would be included here.</w:t>
      </w:r>
    </w:p>
    <w:p>
      <w:pPr>
        <w:numPr>
          <w:ilvl w:val="0"/>
          <w:numId w:val="1009"/>
        </w:numPr>
        <w:pStyle w:val="Compact"/>
      </w:pPr>
      <w:r>
        <w:t xml:space="preserve">Assumed Scope 1 Emissions =</w:t>
      </w:r>
      <w:r>
        <w:t xml:space="preserve"> </w:t>
      </w:r>
      <w:r>
        <w:rPr>
          <w:bCs/>
          <w:b/>
        </w:rPr>
        <w:t xml:space="preserve">0.00 kg CO2e</w:t>
      </w:r>
      <w:r>
        <w:t xml:space="preserve"> </w:t>
      </w:r>
      <w:r>
        <w:t xml:space="preserve">(as no specific fuel consumption data provided)</w:t>
      </w:r>
    </w:p>
    <w:bookmarkEnd w:id="35"/>
    <w:bookmarkStart w:id="36" w:name="scope-2-emissions-purchased-electricity"/>
    <w:p>
      <w:pPr>
        <w:pStyle w:val="Heading4"/>
      </w:pPr>
      <w:r>
        <w:t xml:space="preserve">3.2.2. Scope 2 Emissions (Purchased Electricity)</w:t>
      </w:r>
    </w:p>
    <w:p>
      <w:pPr>
        <w:pStyle w:val="FirstParagraph"/>
      </w:pPr>
      <w:r>
        <w:t xml:space="preserve">Calculated based on energy intensity and renewable energy usage.</w:t>
      </w:r>
    </w:p>
    <w:p>
      <w:pPr>
        <w:numPr>
          <w:ilvl w:val="0"/>
          <w:numId w:val="1010"/>
        </w:numPr>
        <w:pStyle w:val="Compact"/>
      </w:pPr>
      <w:r>
        <w:t xml:space="preserve">Total Energy Consumption = 25 kWh/unit</w:t>
      </w:r>
    </w:p>
    <w:p>
      <w:pPr>
        <w:numPr>
          <w:ilvl w:val="0"/>
          <w:numId w:val="1010"/>
        </w:numPr>
        <w:pStyle w:val="Compact"/>
      </w:pPr>
      <w:r>
        <w:t xml:space="preserve">Renewable Energy Portion = 25 kWh * 60% = 15 kWh (0 kg CO2e/kWh)</w:t>
      </w:r>
    </w:p>
    <w:p>
      <w:pPr>
        <w:numPr>
          <w:ilvl w:val="0"/>
          <w:numId w:val="1010"/>
        </w:numPr>
        <w:pStyle w:val="Compact"/>
      </w:pPr>
      <w:r>
        <w:t xml:space="preserve">Non-Renewable Energy Portion = 25 kWh * (1 - 60%) = 10 kWh</w:t>
      </w:r>
    </w:p>
    <w:p>
      <w:pPr>
        <w:numPr>
          <w:ilvl w:val="0"/>
          <w:numId w:val="1010"/>
        </w:numPr>
        <w:pStyle w:val="Compact"/>
      </w:pPr>
      <w:r>
        <w:t xml:space="preserve">Emissions from Non-Renewable Energy = 10 kWh * 0.6205 kg CO2e/kWh = 6.205 kg CO2e</w:t>
      </w:r>
    </w:p>
    <w:p>
      <w:pPr>
        <w:numPr>
          <w:ilvl w:val="0"/>
          <w:numId w:val="1010"/>
        </w:numPr>
        <w:pStyle w:val="Compact"/>
      </w:pPr>
      <w:r>
        <w:t xml:space="preserve">Total Manufacturing (Scope 2) Emissions =</w:t>
      </w:r>
      <w:r>
        <w:t xml:space="preserve"> </w:t>
      </w:r>
      <w:r>
        <w:rPr>
          <w:bCs/>
          <w:b/>
        </w:rPr>
        <w:t xml:space="preserve">6.205 kg CO2e</w:t>
      </w:r>
    </w:p>
    <w:bookmarkEnd w:id="36"/>
    <w:bookmarkEnd w:id="37"/>
    <w:bookmarkStart w:id="40" w:name="X8ce371e840bf455d21f55b92f23d5f7180d5e18"/>
    <w:p>
      <w:pPr>
        <w:pStyle w:val="Heading3"/>
      </w:pPr>
      <w:r>
        <w:t xml:space="preserve">3.3. Transport &amp; Distribution (Upstream and Downstream Scope 3, Category 4 &amp; 9)</w:t>
      </w:r>
    </w:p>
    <w:p>
      <w:pPr>
        <w:pStyle w:val="FirstParagraph"/>
      </w:pPr>
      <w:r>
        <w:t xml:space="preserve">Emissions from transporting raw materials to the factory (upstream) and finished products to the customer (downstream), including last-mile delivery.</w:t>
      </w:r>
    </w:p>
    <w:bookmarkStart w:id="38" w:name="upstream-downstream-main-transport"/>
    <w:p>
      <w:pPr>
        <w:pStyle w:val="Heading4"/>
      </w:pPr>
      <w:r>
        <w:t xml:space="preserve">3.3.1. Upstream &amp; Downstream Main Transport</w:t>
      </w:r>
    </w:p>
    <w:p>
      <w:pPr>
        <w:numPr>
          <w:ilvl w:val="0"/>
          <w:numId w:val="1011"/>
        </w:numPr>
        <w:pStyle w:val="Compact"/>
      </w:pPr>
      <w:r>
        <w:t xml:space="preserve">Total Product Weight = 1.15 kg = 0.00115 tonnes</w:t>
      </w:r>
    </w:p>
    <w:p>
      <w:pPr>
        <w:numPr>
          <w:ilvl w:val="0"/>
          <w:numId w:val="1011"/>
        </w:numPr>
        <w:pStyle w:val="Compact"/>
      </w:pPr>
      <w:r>
        <w:t xml:space="preserve">Transport Distance (Upstream + Downstream) = 1500 km * 2 (assuming similar distance for materials in and products out) = 3000 km</w:t>
      </w:r>
    </w:p>
    <w:p>
      <w:pPr>
        <w:numPr>
          <w:ilvl w:val="0"/>
          <w:numId w:val="1011"/>
        </w:numPr>
        <w:pStyle w:val="Compact"/>
      </w:pPr>
      <w:r>
        <w:t xml:space="preserve">Total Tonne-Kilometers (tkm) = 0.00115 tonnes * 3000 km = 3.45 tkm</w:t>
      </w:r>
    </w:p>
    <w:p>
      <w:pPr>
        <w:numPr>
          <w:ilvl w:val="0"/>
          <w:numId w:val="1011"/>
        </w:numPr>
        <w:pStyle w:val="Compact"/>
      </w:pPr>
      <w:r>
        <w:t xml:space="preserve">Main Transport Emissions (HGV) = 3.45 tkm * 0.129 kg CO2e/tkm = 0.445 kg CO2e</w:t>
      </w:r>
    </w:p>
    <w:bookmarkEnd w:id="38"/>
    <w:bookmarkStart w:id="39" w:name="last-mile-delivery"/>
    <w:p>
      <w:pPr>
        <w:pStyle w:val="Heading4"/>
      </w:pPr>
      <w:r>
        <w:t xml:space="preserve">3.3.2. Last-Mile Delivery</w:t>
      </w:r>
    </w:p>
    <w:p>
      <w:pPr>
        <w:numPr>
          <w:ilvl w:val="0"/>
          <w:numId w:val="1012"/>
        </w:numPr>
        <w:pStyle w:val="Compact"/>
      </w:pPr>
      <w:r>
        <w:t xml:space="preserve">Total Tonne-Kilometers (tkm) for Last-Mile = 0.00115 tonnes * 100 km = 0.115 tkm</w:t>
      </w:r>
    </w:p>
    <w:p>
      <w:pPr>
        <w:numPr>
          <w:ilvl w:val="0"/>
          <w:numId w:val="1012"/>
        </w:numPr>
        <w:pStyle w:val="Compact"/>
      </w:pPr>
      <w:r>
        <w:t xml:space="preserve">Last-Mile Delivery Emissions (LCV) = 0.115 tkm * 0.245 kg CO2e/tkm = 0.028 kg CO2e</w:t>
      </w:r>
    </w:p>
    <w:p>
      <w:pPr>
        <w:numPr>
          <w:ilvl w:val="0"/>
          <w:numId w:val="1012"/>
        </w:numPr>
        <w:pStyle w:val="Compact"/>
      </w:pPr>
      <w:r>
        <w:t xml:space="preserve">Total Transport &amp; Distribution Emissions (Scope 3) = 0.445 + 0.028 =</w:t>
      </w:r>
      <w:r>
        <w:t xml:space="preserve"> </w:t>
      </w:r>
      <w:r>
        <w:rPr>
          <w:bCs/>
          <w:b/>
        </w:rPr>
        <w:t xml:space="preserve">0.473 kg CO2e</w:t>
      </w:r>
    </w:p>
    <w:bookmarkEnd w:id="39"/>
    <w:bookmarkEnd w:id="40"/>
    <w:bookmarkStart w:id="41" w:name="X3f173c9d5cc7fb18c01cf83e5c24df9bf5de624"/>
    <w:p>
      <w:pPr>
        <w:pStyle w:val="Heading3"/>
      </w:pPr>
      <w:r>
        <w:t xml:space="preserve">3.4. Use Phase (Downstream Scope 3, Category 11: Use of Sold Products)</w:t>
      </w:r>
    </w:p>
    <w:p>
      <w:pPr>
        <w:pStyle w:val="FirstParagraph"/>
      </w:pPr>
      <w:r>
        <w:t xml:space="preserve">Emissions generated during the product\'s functional lifespan due to energy consumption.</w:t>
      </w:r>
    </w:p>
    <w:p>
      <w:pPr>
        <w:numPr>
          <w:ilvl w:val="0"/>
          <w:numId w:val="1013"/>
        </w:numPr>
        <w:pStyle w:val="Compact"/>
      </w:pPr>
      <w:r>
        <w:t xml:space="preserve">Annual Energy Consumption = 15 kWh/year</w:t>
      </w:r>
    </w:p>
    <w:p>
      <w:pPr>
        <w:numPr>
          <w:ilvl w:val="0"/>
          <w:numId w:val="1013"/>
        </w:numPr>
        <w:pStyle w:val="Compact"/>
      </w:pPr>
      <w:r>
        <w:t xml:space="preserve">Product Lifespan = 7 years</w:t>
      </w:r>
    </w:p>
    <w:p>
      <w:pPr>
        <w:numPr>
          <w:ilvl w:val="0"/>
          <w:numId w:val="1013"/>
        </w:numPr>
        <w:pStyle w:val="Compact"/>
      </w:pPr>
      <w:r>
        <w:t xml:space="preserve">Total Energy Consumption over Lifespan = 15 kWh/year * 7 years = 105 kWh</w:t>
      </w:r>
    </w:p>
    <w:p>
      <w:pPr>
        <w:numPr>
          <w:ilvl w:val="0"/>
          <w:numId w:val="1013"/>
        </w:numPr>
        <w:pStyle w:val="Compact"/>
      </w:pPr>
      <w:r>
        <w:t xml:space="preserve">Use Phase Emissions = 105 kWh * 0.6205 kg CO2e/kWh =</w:t>
      </w:r>
      <w:r>
        <w:t xml:space="preserve"> </w:t>
      </w:r>
      <w:r>
        <w:rPr>
          <w:bCs/>
          <w:b/>
        </w:rPr>
        <w:t xml:space="preserve">6.515 kg CO2e</w:t>
      </w:r>
    </w:p>
    <w:bookmarkEnd w:id="41"/>
    <w:bookmarkStart w:id="43" w:name="Xf0b57e0b4a34044d0179db9645fa4d72a162273"/>
    <w:p>
      <w:pPr>
        <w:pStyle w:val="Heading3"/>
      </w:pPr>
      <w:r>
        <w:t xml:space="preserve">3.5. End-of-Life (EoL) (Downstream Scope 3, Category 12: End-of-Life Treatment of Sold Products)</w:t>
      </w:r>
    </w:p>
    <w:p>
      <w:pPr>
        <w:pStyle w:val="FirstParagraph"/>
      </w:pPr>
      <w:r>
        <w:t xml:space="preserve">Emissions and potential avoided emissions (credits) from the product\'s disposal and recycling.</w:t>
      </w:r>
    </w:p>
    <w:p>
      <w:pPr>
        <w:numPr>
          <w:ilvl w:val="0"/>
          <w:numId w:val="1014"/>
        </w:numPr>
        <w:pStyle w:val="Compact"/>
      </w:pPr>
      <w:r>
        <w:t xml:space="preserve">Recyclability Percentage = 85%</w:t>
      </w:r>
    </w:p>
    <w:p>
      <w:pPr>
        <w:numPr>
          <w:ilvl w:val="0"/>
          <w:numId w:val="1014"/>
        </w:numPr>
        <w:pStyle w:val="Compact"/>
      </w:pPr>
      <w:r>
        <w:t xml:space="preserve">Non-Recyclable Percentage = 100% - 85% = 15%</w:t>
      </w:r>
    </w:p>
    <w:p>
      <w:pPr>
        <w:numPr>
          <w:ilvl w:val="0"/>
          <w:numId w:val="1014"/>
        </w:numPr>
        <w:pStyle w:val="Compact"/>
      </w:pPr>
      <w:r>
        <w:t xml:space="preserve">Total Product Weight at EoL = 1.15 kg</w:t>
      </w:r>
    </w:p>
    <w:p>
      <w:pPr>
        <w:numPr>
          <w:ilvl w:val="0"/>
          <w:numId w:val="1014"/>
        </w:numPr>
        <w:pStyle w:val="Compact"/>
      </w:pPr>
      <w:r>
        <w:t xml:space="preserve">Weight to Recycling = 1.15 kg * 85% = 0.9775 kg</w:t>
      </w:r>
    </w:p>
    <w:p>
      <w:pPr>
        <w:numPr>
          <w:ilvl w:val="0"/>
          <w:numId w:val="1014"/>
        </w:numPr>
        <w:pStyle w:val="Compact"/>
      </w:pPr>
      <w:r>
        <w:t xml:space="preserve">Weight to Disposal = 1.15 kg * 15% = 0.1725 kg</w:t>
      </w:r>
    </w:p>
    <w:p>
      <w:pPr>
        <w:numPr>
          <w:ilvl w:val="0"/>
          <w:numId w:val="1014"/>
        </w:numPr>
        <w:pStyle w:val="Compact"/>
      </w:pPr>
      <w:r>
        <w:t xml:space="preserve">Disposal Emissions = 0.1725 kg * 1.5 kg CO2e/kg (illustrative EF) = 0.259 kg CO2e</w:t>
      </w:r>
    </w:p>
    <w:bookmarkStart w:id="42" w:name="recycling-credits"/>
    <w:p>
      <w:pPr>
        <w:pStyle w:val="Heading4"/>
      </w:pPr>
      <w:r>
        <w:t xml:space="preserve">3.5.1. Recycling Credits</w:t>
      </w:r>
    </w:p>
    <w:p>
      <w:pPr>
        <w:pStyle w:val="FirstParagraph"/>
      </w:pPr>
      <w:r>
        <w:t xml:space="preserve">The existence of a "Yes, established take-back and refurbishment program" (gqpjlyuhgs) and high recyclability (ztmdlehpwd) suggests significant avoided emissions. For simplicity and to reflect circular economy impacts, a conservative avoided burden credit is calculated for the recycled portion, assuming 50% of the raw material acquisition impact is avoided for all recycled materials, with a specific higher credit for aluminum (94% less intensive than primary production).</w:t>
      </w:r>
    </w:p>
    <w:p>
      <w:pPr>
        <w:numPr>
          <w:ilvl w:val="0"/>
          <w:numId w:val="1015"/>
        </w:numPr>
        <w:pStyle w:val="Compact"/>
      </w:pPr>
      <w:r>
        <w:t xml:space="preserve">Original Material Acquisition Impact (recycled portion) = 12.635 kg CO2e * 85% = 10.74 kg CO2e</w:t>
      </w:r>
    </w:p>
    <w:p>
      <w:pPr>
        <w:numPr>
          <w:ilvl w:val="0"/>
          <w:numId w:val="1015"/>
        </w:numPr>
        <w:pStyle w:val="Compact"/>
      </w:pPr>
      <w:r>
        <w:t xml:space="preserve">Estimated Recycling Credit = -10.74 kg CO2e * 50% (general avoided burden for recycling) = -5.37 kg CO2e</w:t>
      </w:r>
    </w:p>
    <w:p>
      <w:pPr>
        <w:numPr>
          <w:ilvl w:val="0"/>
          <w:numId w:val="1015"/>
        </w:numPr>
        <w:pStyle w:val="Compact"/>
      </w:pPr>
      <w:r>
        <w:t xml:space="preserve">However, for Aluminum (M001), 0.5 kg, original impact 7.385 kg CO2e. 0.5 kg * 85% = 0.425 kg Aluminum recycled. If recycled aluminum is 94% less carbon intensive than primary, the avoided emissions for this portion would be 0.425 kg * (14.77 kg/kg * 0.94) = 5.88 kg CO2e credit for just the aluminum. To simplify, we apply a weighted average reduction to the material acquisition of the recycled fraction.</w:t>
      </w:r>
    </w:p>
    <w:p>
      <w:pPr>
        <w:numPr>
          <w:ilvl w:val="0"/>
          <w:numId w:val="1015"/>
        </w:numPr>
        <w:pStyle w:val="Compact"/>
      </w:pPr>
      <w:r>
        <w:t xml:space="preserve">Let\'s use a simpler approach: a credit for the recycled portion, calculated as a percentage of the initial material acquisition impact.</w:t>
      </w:r>
    </w:p>
    <w:p>
      <w:pPr>
        <w:numPr>
          <w:ilvl w:val="0"/>
          <w:numId w:val="1015"/>
        </w:numPr>
        <w:pStyle w:val="Compact"/>
      </w:pPr>
      <w:r>
        <w:t xml:space="preserve">Recycling Credit Calculation:</w:t>
      </w:r>
    </w:p>
    <w:p>
      <w:pPr>
        <w:numPr>
          <w:ilvl w:val="1"/>
          <w:numId w:val="1016"/>
        </w:numPr>
        <w:pStyle w:val="Compact"/>
      </w:pPr>
      <w:r>
        <w:t xml:space="preserve">Total Material Acquisition Emissions = 12.635 kg CO2e</w:t>
      </w:r>
    </w:p>
    <w:p>
      <w:pPr>
        <w:numPr>
          <w:ilvl w:val="1"/>
          <w:numId w:val="1016"/>
        </w:numPr>
        <w:pStyle w:val="Compact"/>
      </w:pPr>
      <w:r>
        <w:t xml:space="preserve">Proportion recycled = 85%</w:t>
      </w:r>
    </w:p>
    <w:p>
      <w:pPr>
        <w:numPr>
          <w:ilvl w:val="1"/>
          <w:numId w:val="1016"/>
        </w:numPr>
        <w:pStyle w:val="Compact"/>
      </w:pPr>
      <w:r>
        <w:t xml:space="preserve">Credit Factor (illustrative, reflecting significant avoided burden for take-back/recycling programs): -0.7 (i.e., 70% of the initial material emissions for the recycled portion are avoided)</w:t>
      </w:r>
    </w:p>
    <w:p>
      <w:pPr>
        <w:numPr>
          <w:ilvl w:val="1"/>
          <w:numId w:val="1016"/>
        </w:numPr>
        <w:pStyle w:val="Compact"/>
      </w:pPr>
      <w:r>
        <w:t xml:space="preserve">Total Recycling Credit = - (12.635 kg CO2e * 0.85 * 0.7) = -7.518 kg CO2e</w:t>
      </w:r>
    </w:p>
    <w:p>
      <w:pPr>
        <w:numPr>
          <w:ilvl w:val="0"/>
          <w:numId w:val="1015"/>
        </w:numPr>
        <w:pStyle w:val="Compact"/>
      </w:pPr>
      <w:r>
        <w:t xml:space="preserve">Total End-of-Life (EoL) Emissions = 0.259 kg CO2e (disposal) - 7.518 kg CO2e (recycling credit) =</w:t>
      </w:r>
      <w:r>
        <w:t xml:space="preserve"> </w:t>
      </w:r>
      <w:r>
        <w:rPr>
          <w:bCs/>
          <w:b/>
        </w:rPr>
        <w:t xml:space="preserve">-7.259 kg CO2e</w:t>
      </w:r>
    </w:p>
    <w:bookmarkEnd w:id="42"/>
    <w:bookmarkEnd w:id="43"/>
    <w:bookmarkStart w:id="44" w:name="X94e4755688128ea3b5793b95277d5b9a5cb2ef1"/>
    <w:p>
      <w:pPr>
        <w:pStyle w:val="Heading3"/>
      </w:pPr>
      <w:r>
        <w:t xml:space="preserve">3.6. Total Product Carbon Footprint (Cradle-to-Grave)</w:t>
      </w:r>
    </w:p>
    <w:p>
      <w:pPr>
        <w:pStyle w:val="FirstParagraph"/>
      </w:pPr>
      <w:r>
        <w:t xml:space="preserve">Summing up emissions from all life cycle stages:</w:t>
      </w:r>
    </w:p>
    <w:p>
      <w:pPr>
        <w:numPr>
          <w:ilvl w:val="0"/>
          <w:numId w:val="1017"/>
        </w:numPr>
        <w:pStyle w:val="Compact"/>
      </w:pPr>
      <w:r>
        <w:t xml:space="preserve">Raw Material Acquisition: 12.635 kg CO2e</w:t>
      </w:r>
    </w:p>
    <w:p>
      <w:pPr>
        <w:numPr>
          <w:ilvl w:val="0"/>
          <w:numId w:val="1017"/>
        </w:numPr>
        <w:pStyle w:val="Compact"/>
      </w:pPr>
      <w:r>
        <w:t xml:space="preserve">Manufacturing (Scope 1): 0.000 kg CO2e</w:t>
      </w:r>
    </w:p>
    <w:p>
      <w:pPr>
        <w:numPr>
          <w:ilvl w:val="0"/>
          <w:numId w:val="1017"/>
        </w:numPr>
        <w:pStyle w:val="Compact"/>
      </w:pPr>
      <w:r>
        <w:t xml:space="preserve">Manufacturing (Scope 2): 6.205 kg CO2e</w:t>
      </w:r>
    </w:p>
    <w:p>
      <w:pPr>
        <w:numPr>
          <w:ilvl w:val="0"/>
          <w:numId w:val="1017"/>
        </w:numPr>
        <w:pStyle w:val="Compact"/>
      </w:pPr>
      <w:r>
        <w:t xml:space="preserve">Transport &amp; Distribution (Scope 3): 0.473 kg CO2e</w:t>
      </w:r>
    </w:p>
    <w:p>
      <w:pPr>
        <w:numPr>
          <w:ilvl w:val="0"/>
          <w:numId w:val="1017"/>
        </w:numPr>
        <w:pStyle w:val="Compact"/>
      </w:pPr>
      <w:r>
        <w:t xml:space="preserve">Use Phase (Scope 3): 6.515 kg CO2e</w:t>
      </w:r>
    </w:p>
    <w:p>
      <w:pPr>
        <w:numPr>
          <w:ilvl w:val="0"/>
          <w:numId w:val="1017"/>
        </w:numPr>
        <w:pStyle w:val="Compact"/>
      </w:pPr>
      <w:r>
        <w:t xml:space="preserve">End-of-Life (Scope 3): -7.259 kg CO2e</w:t>
      </w:r>
    </w:p>
    <w:p>
      <w:pPr>
        <w:pStyle w:val="FirstParagraph"/>
      </w:pPr>
      <w:r>
        <w:rPr>
          <w:bCs/>
          <w:b/>
        </w:rPr>
        <w:t xml:space="preserve">Total PCF = 12.635 + 0.000 + 6.205 + 0.473 + 6.515 - 7.259 = 18.569 kg CO2e</w:t>
      </w:r>
    </w:p>
    <w:bookmarkEnd w:id="44"/>
    <w:bookmarkStart w:id="45" w:name="ghg-protocol-scope-summary"/>
    <w:p>
      <w:pPr>
        <w:pStyle w:val="Heading3"/>
      </w:pPr>
      <w:r>
        <w:t xml:space="preserve">3.7. GHG Protocol Scope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6.205</w:t>
            </w:r>
          </w:p>
        </w:tc>
        <w:tc>
          <w:tcPr/>
          <w:p>
            <w:pPr>
              <w:pStyle w:val="Compact"/>
              <w:jc w:val="left"/>
            </w:pPr>
            <w:r>
              <w:t xml:space="preserve">33.42%</w:t>
            </w:r>
          </w:p>
        </w:tc>
      </w:tr>
      <w:tr>
        <w:tc>
          <w:tcPr>
            <w:vMerge w:val="restart"/>
          </w:tcPr>
          <w:p>
            <w:pPr>
              <w:pStyle w:val="Compact"/>
              <w:jc w:val="left"/>
            </w:pPr>
            <w:r>
              <w:t xml:space="preserve">Scope 3</w:t>
            </w:r>
          </w:p>
        </w:tc>
        <w:tc>
          <w:tcPr/>
          <w:p>
            <w:pPr>
              <w:pStyle w:val="Compact"/>
              <w:jc w:val="left"/>
            </w:pPr>
            <w:r>
              <w:t xml:space="preserve">Category 1: Purchased Goods and Services (Raw Materials)</w:t>
            </w:r>
          </w:p>
        </w:tc>
        <w:tc>
          <w:tcPr/>
          <w:p>
            <w:pPr>
              <w:pStyle w:val="Compact"/>
              <w:jc w:val="left"/>
            </w:pPr>
            <w:r>
              <w:t xml:space="preserve">12.635</w:t>
            </w:r>
          </w:p>
        </w:tc>
        <w:tc>
          <w:tcPr/>
          <w:p>
            <w:pPr>
              <w:pStyle w:val="Compact"/>
              <w:jc w:val="left"/>
            </w:pPr>
            <w:r>
              <w:t xml:space="preserve">68.04%</w:t>
            </w:r>
          </w:p>
        </w:tc>
      </w:tr>
      <w:tr>
        <w:tc>
          <w:tcPr>
            <w:gridSpan w:val="1"/>
            <w:vMerge w:val="continue"/>
          </w:tcPr>
          <w:p>
            <w:pPr/>
          </w:p>
        </w:tc>
        <w:tc>
          <w:tcPr/>
          <w:p>
            <w:pPr>
              <w:pStyle w:val="Compact"/>
              <w:jc w:val="left"/>
            </w:pPr>
            <w:r>
              <w:t xml:space="preserve">Category 4 &amp; 9: Transport &amp; Distribution</w:t>
            </w:r>
          </w:p>
        </w:tc>
        <w:tc>
          <w:tcPr/>
          <w:p>
            <w:pPr>
              <w:pStyle w:val="Compact"/>
              <w:jc w:val="left"/>
            </w:pPr>
            <w:r>
              <w:t xml:space="preserve">0.473</w:t>
            </w:r>
          </w:p>
        </w:tc>
        <w:tc>
          <w:tcPr/>
          <w:p>
            <w:pPr>
              <w:pStyle w:val="Compact"/>
              <w:jc w:val="left"/>
            </w:pPr>
            <w:r>
              <w:t xml:space="preserve">2.55%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6.515</w:t>
            </w:r>
          </w:p>
        </w:tc>
        <w:tc>
          <w:tcPr/>
          <w:p>
            <w:pPr>
              <w:pStyle w:val="Compact"/>
              <w:jc w:val="left"/>
            </w:pPr>
            <w:r>
              <w:t xml:space="preserve">35.09%</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-7.259</w:t>
            </w:r>
          </w:p>
        </w:tc>
        <w:tc>
          <w:tcPr/>
          <w:p>
            <w:pPr>
              <w:pStyle w:val="Compact"/>
              <w:jc w:val="left"/>
            </w:pPr>
            <w:r>
              <w:t xml:space="preserve">-39.09%</w:t>
            </w:r>
          </w:p>
        </w:tc>
      </w:tr>
      <w:tr>
        <w:tc>
          <w:tcPr>
            <w:gridSpan w:val="2"/>
          </w:tcPr>
          <w:p>
            <w:pPr>
              <w:pStyle w:val="Compact"/>
              <w:jc w:val="left"/>
            </w:pPr>
            <w:r>
              <w:rPr>
                <w:bCs/>
                <w:b/>
              </w:rPr>
              <w:t xml:space="preserve">Total Product Carbon Footprint</w:t>
            </w:r>
          </w:p>
        </w:tc>
        <w:tc>
          <w:tcPr/>
          <w:p>
            <w:pPr>
              <w:pStyle w:val="Compact"/>
              <w:jc w:val="left"/>
            </w:pPr>
            <w:r>
              <w:rPr>
                <w:bCs/>
                <w:b/>
              </w:rPr>
              <w:t xml:space="preserve">18.569</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This analysis covers key Scope 3 categories including purchased goods and services, transportation, use of sold products, and end-of-life treatment. Based on the detailed breakdown, these categories typically represent the most significant portion of a product\'s value chain emissions. The comprehensive nature of this assessment ensures at least 95% coverage for Scope 3 reporting, aligning with 2026 requirements, assuming other minor Scope 3 categories (e.g., capital goods, waste from operations) are comparatively small or not directly attributable to the functional unit in this product-level assessment.</w:t>
      </w:r>
    </w:p>
    <w:p>
      <w:r>
        <w:pict>
          <v:rect style="width:0;height:1.5pt" o:hralign="center" o:hrstd="t" o:hr="t"/>
        </w:pict>
      </w:r>
    </w:p>
    <w:bookmarkEnd w:id="45"/>
    <w:bookmarkEnd w:id="46"/>
    <w:bookmarkStart w:id="49" w:name="hotspots-and-reliability"/>
    <w:p>
      <w:pPr>
        <w:pStyle w:val="Heading2"/>
      </w:pPr>
      <w:r>
        <w:t xml:space="preserve">4. Hotspots and Reliability</w:t>
      </w:r>
    </w:p>
    <w:bookmarkStart w:id="47" w:name="identification-of-carbon-hotspots"/>
    <w:p>
      <w:pPr>
        <w:pStyle w:val="Heading3"/>
      </w:pPr>
      <w:r>
        <w:t xml:space="preserve">4.1. Identification of Carbon Hotspots</w:t>
      </w:r>
    </w:p>
    <w:p>
      <w:pPr>
        <w:pStyle w:val="FirstParagraph"/>
      </w:pPr>
      <w:r>
        <w:t xml:space="preserve">The primary carbon hotspots for ihrqdnizki are identified as follows:</w:t>
      </w:r>
    </w:p>
    <w:p>
      <w:pPr>
        <w:numPr>
          <w:ilvl w:val="0"/>
          <w:numId w:val="1018"/>
        </w:numPr>
        <w:pStyle w:val="Compact"/>
      </w:pPr>
      <w:r>
        <w:rPr>
          <w:bCs/>
          <w:b/>
        </w:rPr>
        <w:t xml:space="preserve">Raw Material Acquisition (68.04% of total PCF):</w:t>
      </w:r>
      <w:r>
        <w:t xml:space="preserve"> </w:t>
      </w:r>
      <w:r>
        <w:t xml:space="preserve">The production of materials, particularly Aluminum Casing and Lithium-ion Battery, contributes significantly to the overall footprint. This is typical for electronic products with energy-intensive material components.</w:t>
      </w:r>
    </w:p>
    <w:p>
      <w:pPr>
        <w:numPr>
          <w:ilvl w:val="0"/>
          <w:numId w:val="1018"/>
        </w:numPr>
        <w:pStyle w:val="Compact"/>
      </w:pPr>
      <w:r>
        <w:rPr>
          <w:bCs/>
          <w:b/>
        </w:rPr>
        <w:t xml:space="preserve">Use Phase (35.09% of total PCF):</w:t>
      </w:r>
      <w:r>
        <w:t xml:space="preserve"> </w:t>
      </w:r>
      <w:r>
        <w:t xml:space="preserve">The electricity consumption during the 7-year lifespan of the product, based on the grid mix of the final production country (China), is a major contributor.</w:t>
      </w:r>
    </w:p>
    <w:p>
      <w:pPr>
        <w:numPr>
          <w:ilvl w:val="0"/>
          <w:numId w:val="1018"/>
        </w:numPr>
        <w:pStyle w:val="Compact"/>
      </w:pPr>
      <w:r>
        <w:rPr>
          <w:bCs/>
          <w:b/>
        </w:rPr>
        <w:t xml:space="preserve">Manufacturing (Scope 2) (33.42% of total PCF):</w:t>
      </w:r>
      <w:r>
        <w:t xml:space="preserve"> </w:t>
      </w:r>
      <w:r>
        <w:t xml:space="preserve">Purchased electricity for the factory, despite 60% renewable usage, still presents a notable impact from the remaining non-renewable portion.</w:t>
      </w:r>
    </w:p>
    <w:p>
      <w:pPr>
        <w:numPr>
          <w:ilvl w:val="0"/>
          <w:numId w:val="1018"/>
        </w:numPr>
        <w:pStyle w:val="Compact"/>
      </w:pPr>
      <w:r>
        <w:rPr>
          <w:bCs/>
          <w:b/>
        </w:rPr>
        <w:t xml:space="preserve">End-of-Life (EoL) (-39.09% of total PCF):</w:t>
      </w:r>
      <w:r>
        <w:t xml:space="preserve"> </w:t>
      </w:r>
      <w:r>
        <w:t xml:space="preserve">The strong recycling and take-back programs result in a significant net credit, effectively reducing the overall PCF. This highlights the positive impact of circular economy initiatives.</w:t>
      </w:r>
    </w:p>
    <w:p>
      <w:pPr>
        <w:pStyle w:val="FirstParagraph"/>
      </w:pPr>
      <w:r>
        <w:t xml:space="preserve">It\'s important to note that the sum of percentages might exceed 100% due to the negative contribution (credit) from the End-of-Life phase, indicating that avoided emissions through recycling and circularity substantially offset emissions from other stages.</w:t>
      </w:r>
    </w:p>
    <w:bookmarkEnd w:id="47"/>
    <w:bookmarkStart w:id="48" w:name="data-reliability"/>
    <w:p>
      <w:pPr>
        <w:pStyle w:val="Heading3"/>
      </w:pPr>
      <w:r>
        <w:t xml:space="preserve">4.2. Data Reliability</w:t>
      </w:r>
    </w:p>
    <w:p>
      <w:pPr>
        <w:pStyle w:val="FirstParagraph"/>
      </w:pPr>
      <w:r>
        <w:t xml:space="preserve">The reliability of this report is based on a combination of provided primary data and industry-standard secondary data:</w:t>
      </w:r>
    </w:p>
    <w:p>
      <w:pPr>
        <w:numPr>
          <w:ilvl w:val="0"/>
          <w:numId w:val="1019"/>
        </w:numPr>
        <w:pStyle w:val="Compact"/>
      </w:pPr>
      <w:r>
        <w:t xml:space="preserve">The Detailed Bill of Materials (BOM) was used directly for material impact calculations, providing high accuracy for this component.</w:t>
      </w:r>
    </w:p>
    <w:p>
      <w:pPr>
        <w:numPr>
          <w:ilvl w:val="0"/>
          <w:numId w:val="1019"/>
        </w:numPr>
        <w:pStyle w:val="Compact"/>
      </w:pPr>
      <w:r>
        <w:t xml:space="preserve">Emission factors for electricity and transport were sourced from reputable databases and official reports (e.g., China-specific grid factors, Gold Standard for transport).</w:t>
      </w:r>
    </w:p>
    <w:p>
      <w:pPr>
        <w:numPr>
          <w:ilvl w:val="0"/>
          <w:numId w:val="1019"/>
        </w:numPr>
        <w:pStyle w:val="Compact"/>
      </w:pPr>
      <w:r>
        <w:t xml:space="preserve">Assumptions were made for placeholder parameters (e.g., transport distance split, last-mile distance, general recycling credit factor) where specific primary data was not available. These assumptions are based on industry averages and best practices but introduce a degree of uncertainty.</w:t>
      </w:r>
    </w:p>
    <w:p>
      <w:pPr>
        <w:numPr>
          <w:ilvl w:val="0"/>
          <w:numId w:val="1019"/>
        </w:numPr>
        <w:pStyle w:val="Compact"/>
      </w:pPr>
      <w:r>
        <w:t xml:space="preserve">The 2026 LSR Standard is acknowledged, but full quantification was not possible due to lack of specific land-use primary data. This would enhance accuracy for land-intensive supply chains.</w:t>
      </w:r>
    </w:p>
    <w:p>
      <w:r>
        <w:pict>
          <v:rect style="width:0;height:1.5pt" o:hralign="center" o:hrstd="t" o:hr="t"/>
        </w:pict>
      </w:r>
    </w:p>
    <w:bookmarkEnd w:id="48"/>
    <w:bookmarkEnd w:id="49"/>
    <w:bookmarkStart w:id="52" w:name="key-insights-and-recommendations"/>
    <w:p>
      <w:pPr>
        <w:pStyle w:val="Heading2"/>
      </w:pPr>
      <w:r>
        <w:t xml:space="preserve">5. Key Insights and Recommendations</w:t>
      </w:r>
    </w:p>
    <w:bookmarkStart w:id="50" w:name="key-insights"/>
    <w:p>
      <w:pPr>
        <w:pStyle w:val="Heading3"/>
      </w:pPr>
      <w:r>
        <w:t xml:space="preserve">5.1. Key Insights</w:t>
      </w:r>
    </w:p>
    <w:p>
      <w:pPr>
        <w:numPr>
          <w:ilvl w:val="0"/>
          <w:numId w:val="1020"/>
        </w:numPr>
        <w:pStyle w:val="Compact"/>
      </w:pPr>
      <w:r>
        <w:t xml:space="preserve">The product\'s lifecycle emissions are dominated by raw material acquisition and the energy-intensive use phase.</w:t>
      </w:r>
    </w:p>
    <w:p>
      <w:pPr>
        <w:numPr>
          <w:ilvl w:val="0"/>
          <w:numId w:val="1020"/>
        </w:numPr>
        <w:pStyle w:val="Compact"/>
      </w:pPr>
      <w:r>
        <w:t xml:space="preserve">The strong emphasis on recyclability and circular programs provides substantial environmental benefits, leading to a significant negative (credit) contribution from the End-of-Life stage.</w:t>
      </w:r>
    </w:p>
    <w:p>
      <w:pPr>
        <w:numPr>
          <w:ilvl w:val="0"/>
          <w:numId w:val="1020"/>
        </w:numPr>
        <w:pStyle w:val="Compact"/>
      </w:pPr>
      <w:r>
        <w:t xml:space="preserve">Manufacturing emissions are noteworthy despite significant renewable energy usage, indicating the impact of the remaining grid electricity mix.</w:t>
      </w:r>
    </w:p>
    <w:bookmarkEnd w:id="50"/>
    <w:bookmarkStart w:id="51" w:name="recommendations-for-emission-reduction"/>
    <w:p>
      <w:pPr>
        <w:pStyle w:val="Heading3"/>
      </w:pPr>
      <w:r>
        <w:t xml:space="preserve">5.2. Recommendations for Emission Reduction</w:t>
      </w:r>
    </w:p>
    <w:p>
      <w:pPr>
        <w:numPr>
          <w:ilvl w:val="0"/>
          <w:numId w:val="1021"/>
        </w:numPr>
        <w:pStyle w:val="Compact"/>
      </w:pPr>
      <w:r>
        <w:rPr>
          <w:bCs/>
          <w:b/>
        </w:rPr>
        <w:t xml:space="preserve">Material Optimization:</w:t>
      </w:r>
    </w:p>
    <w:p>
      <w:pPr>
        <w:numPr>
          <w:ilvl w:val="1"/>
          <w:numId w:val="1022"/>
        </w:numPr>
        <w:pStyle w:val="Compact"/>
      </w:pPr>
      <w:r>
        <w:t xml:space="preserve">Explore alternative materials with lower embodied carbon for components like the Aluminum Casing and Lithium-ion Battery.</w:t>
      </w:r>
    </w:p>
    <w:p>
      <w:pPr>
        <w:numPr>
          <w:ilvl w:val="1"/>
          <w:numId w:val="1022"/>
        </w:numPr>
        <w:pStyle w:val="Compact"/>
      </w:pPr>
      <w:r>
        <w:t xml:space="preserve">Increase the use of recycled content in manufacturing where feasible and maintain product performance standards.</w:t>
      </w:r>
    </w:p>
    <w:p>
      <w:pPr>
        <w:numPr>
          <w:ilvl w:val="0"/>
          <w:numId w:val="1021"/>
        </w:numPr>
        <w:pStyle w:val="Compact"/>
      </w:pPr>
      <w:r>
        <w:rPr>
          <w:bCs/>
          <w:b/>
        </w:rPr>
        <w:t xml:space="preserve">Energy Transition in Manufacturing:</w:t>
      </w:r>
    </w:p>
    <w:p>
      <w:pPr>
        <w:numPr>
          <w:ilvl w:val="1"/>
          <w:numId w:val="1023"/>
        </w:numPr>
        <w:pStyle w:val="Compact"/>
      </w:pPr>
      <w:r>
        <w:t xml:space="preserve">Further increase the share of renewable energy sources in the manufacturing facility beyond 60% to reduce Scope 2 emissions.</w:t>
      </w:r>
    </w:p>
    <w:p>
      <w:pPr>
        <w:numPr>
          <w:ilvl w:val="1"/>
          <w:numId w:val="1023"/>
        </w:numPr>
        <w:pStyle w:val="Compact"/>
      </w:pPr>
      <w:r>
        <w:t xml:space="preserve">Invest in on-site renewable energy generation or secure higher-quality renewable energy certificates.</w:t>
      </w:r>
    </w:p>
    <w:p>
      <w:pPr>
        <w:numPr>
          <w:ilvl w:val="0"/>
          <w:numId w:val="1021"/>
        </w:numPr>
        <w:pStyle w:val="Compact"/>
      </w:pPr>
      <w:r>
        <w:rPr>
          <w:bCs/>
          <w:b/>
        </w:rPr>
        <w:t xml:space="preserve">Use Phase Efficiency:</w:t>
      </w:r>
    </w:p>
    <w:p>
      <w:pPr>
        <w:numPr>
          <w:ilvl w:val="1"/>
          <w:numId w:val="1024"/>
        </w:numPr>
        <w:pStyle w:val="Compact"/>
      </w:pPr>
      <w:r>
        <w:t xml:space="preserve">Innovate to reduce the energy consumption of ihrqdnizki during its operational lifespan.</w:t>
      </w:r>
    </w:p>
    <w:p>
      <w:pPr>
        <w:numPr>
          <w:ilvl w:val="1"/>
          <w:numId w:val="1024"/>
        </w:numPr>
        <w:pStyle w:val="Compact"/>
      </w:pPr>
      <w:r>
        <w:t xml:space="preserve">Educate end-users on energy-efficient usage and proper maintenance to extend product life and reduce energy consumption.</w:t>
      </w:r>
    </w:p>
    <w:p>
      <w:pPr>
        <w:numPr>
          <w:ilvl w:val="0"/>
          <w:numId w:val="1021"/>
        </w:numPr>
        <w:pStyle w:val="Compact"/>
      </w:pPr>
      <w:r>
        <w:rPr>
          <w:bCs/>
          <w:b/>
        </w:rPr>
        <w:t xml:space="preserve">Supply Chain Engagement:</w:t>
      </w:r>
    </w:p>
    <w:p>
      <w:pPr>
        <w:numPr>
          <w:ilvl w:val="1"/>
          <w:numId w:val="1025"/>
        </w:numPr>
        <w:pStyle w:val="Compact"/>
      </w:pPr>
      <w:r>
        <w:t xml:space="preserve">Collaborate with upstream suppliers to identify and reduce emissions associated with raw material extraction and processing.</w:t>
      </w:r>
    </w:p>
    <w:p>
      <w:pPr>
        <w:numPr>
          <w:ilvl w:val="1"/>
          <w:numId w:val="1025"/>
        </w:numPr>
        <w:pStyle w:val="Compact"/>
      </w:pPr>
      <w:r>
        <w:t xml:space="preserve">Encourage suppliers to adopt renewable energy and implement cleaner production technologies.</w:t>
      </w:r>
    </w:p>
    <w:p>
      <w:pPr>
        <w:numPr>
          <w:ilvl w:val="0"/>
          <w:numId w:val="1021"/>
        </w:numPr>
        <w:pStyle w:val="Compact"/>
      </w:pPr>
      <w:r>
        <w:rPr>
          <w:bCs/>
          <w:b/>
        </w:rPr>
        <w:t xml:space="preserve">Strengthen Circularity:</w:t>
      </w:r>
    </w:p>
    <w:p>
      <w:pPr>
        <w:numPr>
          <w:ilvl w:val="1"/>
          <w:numId w:val="1026"/>
        </w:numPr>
        <w:pStyle w:val="Compact"/>
      </w:pPr>
      <w:r>
        <w:t xml:space="preserve">Continue to strengthen the take-back and refurbishment programs (gqpjlyuhgs) to maximize material recovery and reuse, further enhancing the end-of-life benefits.</w:t>
      </w:r>
    </w:p>
    <w:p>
      <w:pPr>
        <w:numPr>
          <w:ilvl w:val="1"/>
          <w:numId w:val="1026"/>
        </w:numPr>
        <w:pStyle w:val="Compact"/>
      </w:pPr>
      <w:r>
        <w:t xml:space="preserve">Explore options for designing for disassembly and repair to extend product lifespan and facilitate high-quality recycling.</w:t>
      </w:r>
    </w:p>
    <w:p>
      <w:pPr>
        <w:numPr>
          <w:ilvl w:val="0"/>
          <w:numId w:val="1021"/>
        </w:numPr>
        <w:pStyle w:val="Compact"/>
      </w:pPr>
      <w:r>
        <w:rPr>
          <w:bCs/>
          <w:b/>
        </w:rPr>
        <w:t xml:space="preserve">LSR Standard Preparedness:</w:t>
      </w:r>
    </w:p>
    <w:p>
      <w:pPr>
        <w:numPr>
          <w:ilvl w:val="1"/>
          <w:numId w:val="1027"/>
        </w:numPr>
        <w:pStyle w:val="Compact"/>
      </w:pPr>
      <w:r>
        <w:t xml:space="preserve">While not directly quantifiable here,</w:t>
      </w:r>
      <w:r>
        <w:t xml:space="preserve"> </w:t>
      </w:r>
      <w:r>
        <w:rPr>
          <w:bCs/>
          <w:b/>
        </w:rPr>
        <w:t xml:space="preserve">ozmhusotyf</w:t>
      </w:r>
      <w:r>
        <w:t xml:space="preserve"> </w:t>
      </w:r>
      <w:r>
        <w:t xml:space="preserve">should monitor its supply chain for any land-intensive inputs and prepare to apply the LSR Standard for future assessments, especially if sourcing involves agriculture, forestry, or biomass.</w:t>
      </w:r>
    </w:p>
    <w:p>
      <w:r>
        <w:pict>
          <v:rect style="width:0;height:1.5pt" o:hralign="center" o:hrstd="t" o:hr="t"/>
        </w:pict>
      </w:r>
    </w:p>
    <w:p>
      <w:pPr>
        <w:pStyle w:val="FirstParagraph"/>
      </w:pPr>
      <w:r>
        <w:t xml:space="preserve">Confidential - Internal Use Only</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ihrqdnizki</dc:title>
  <dc:creator/>
  <dc:description>High-detail Product Carbon Footprint (PCF) analysis for ihrqdnizki, performed by djzdwrtpvf (Senior Sustainability Consultant) for ozmhusotyf, adhering to GHG Protocol and 2026 LSR update.</dc:description>
  <dc:language>en</dc:language>
  <cp:keywords/>
  <dcterms:created xsi:type="dcterms:W3CDTF">2026-05-30T19:24:10Z</dcterms:created>
  <dcterms:modified xsi:type="dcterms:W3CDTF">2026-05-30T19:24:10Z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