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igphgevygo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igphgevygo</w:t>
      </w:r>
    </w:p>
    <w:p>
      <w:pPr>
        <w:pStyle w:val="BodyText"/>
      </w:pPr>
      <w:r>
        <w:rPr>
          <w:bCs/>
          <w:b/>
        </w:rPr>
        <w:t xml:space="preserve">Company:</w:t>
      </w:r>
      <w:r>
        <w:t xml:space="preserve"> </w:t>
      </w:r>
      <w:r>
        <w:t xml:space="preserve">hsfskklikt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xddiuwwhqj</w:t>
      </w:r>
    </w:p>
    <w:p>
      <w:pPr>
        <w:pStyle w:val="BodyText"/>
      </w:pPr>
      <w:r>
        <w:t xml:space="preserve">This report is generated based on available data and industry standards. While every effort has been made to ensure accuracy, the results are indicative and subject to the limitations of the provided input parameters and assumed emission factors.</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igphgevygo</w:t>
      </w:r>
    </w:p>
    <w:p>
      <w:pPr>
        <w:pStyle w:val="BodyText"/>
      </w:pPr>
      <w:r>
        <w:rPr>
          <w:bCs/>
          <w:b/>
        </w:rPr>
        <w:t xml:space="preserve">Company:</w:t>
      </w:r>
      <w:r>
        <w:t xml:space="preserve"> </w:t>
      </w:r>
      <w:r>
        <w:t xml:space="preserve">hsfskklikt</w:t>
      </w:r>
    </w:p>
    <w:p>
      <w:pPr>
        <w:pStyle w:val="BodyText"/>
      </w:pPr>
      <w:r>
        <w:rPr>
          <w:bCs/>
          <w:b/>
        </w:rPr>
        <w:t xml:space="preserve">Senior Sustainability Consultant:</w:t>
      </w:r>
      <w:r>
        <w:t xml:space="preserve"> </w:t>
      </w:r>
      <w:r>
        <w:t xml:space="preserve">xddiuwwhqj</w:t>
      </w:r>
    </w:p>
    <w:p>
      <w:pPr>
        <w:pStyle w:val="BodyText"/>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"igphgevygo" manufactured by "hsfskklikt", conducted by Senior Sustainability Consultant "xddiuwwhqj". The analysis adheres to the Greenhouse Gas (GHG) Protocol, including the recent 2026 Land Sector and Removals (LSR) Standard update, and aims for at least 95% coverage for Scope 3 emissions. The PCF quantifies the total greenhouse gas (GHG) emissions associated with the product\'s entire lifecycle, from raw material acquisition to end-of-life, expressed in CO2 equivalents (CO2e).</w:t>
      </w:r>
    </w:p>
    <w:p>
      <w:pPr>
        <w:pStyle w:val="BodyText"/>
      </w:pPr>
      <w:r>
        <w:t xml:space="preserve">The assessment reveals that material acquisition and processing, manufacturing energy, transportation, and the use phase are significant contributors to the product\'s overall carbon footprint. Recommendations are provided to mitigate these impacts and enhance the product\'s environmental performance in line with circular economy principles.</w:t>
      </w:r>
    </w:p>
    <w:bookmarkEnd w:id="22"/>
    <w:p>
      <w:r>
        <w:pict>
          <v:rect style="width:0;height:1.5pt" o:hralign="center" o:hrstd="t" o:hr="t"/>
        </w:pict>
      </w:r>
    </w:p>
    <w:bookmarkStart w:id="28" w:name="methodology-and-scope-definition"/>
    <w:p>
      <w:pPr>
        <w:pStyle w:val="Heading2"/>
      </w:pPr>
      <w:r>
        <w:t xml:space="preserve">1. Methodology and Scope Definition</w:t>
      </w:r>
    </w:p>
    <w:p>
      <w:pPr>
        <w:pStyle w:val="FirstParagraph"/>
      </w:pPr>
      <w:r>
        <w:t xml:space="preserve">The Product Carbon Footprint (PCF) analysis for \'igphgevygo\' follows the "Cradle-to-Grave" approach, encompassing all stages of the product\'s lifecycle. The accounting standard used is the GHG Protocol, which categorizes emissions into Scope 1, Scope 2, and Scope 3 for comprehensive reporting.</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igphgevygo. This unit serves as the reference basis for all calculations and comparisons, ensuring consistency and comparability of the environmental impacts throughout the product\'s lifecycle.</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While the primary focus for production emissions is \'factory_gate\', this analysis extends to a \'Cradle-to-Grave\' perspective as per the detailed parameter requirements, including material acquisition, manufacturing, transport, use phase, and end-of-life. This comprehensive boundary ensures that all significant GHG emissions associated with the product are captured.</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 Production-related emissions, particularly those from purchased electricity, are based on Chinese grid emission factors.</w:t>
      </w:r>
    </w:p>
    <w:p>
      <w:pPr>
        <w:numPr>
          <w:ilvl w:val="0"/>
          <w:numId w:val="1003"/>
        </w:numPr>
        <w:pStyle w:val="Compact"/>
      </w:pPr>
      <w:r>
        <w:rPr>
          <w:bCs/>
          <w:b/>
        </w:rPr>
        <w:t xml:space="preserve">Supply Chain Focus:</w:t>
      </w:r>
      <w:r>
        <w:t xml:space="preserve"> </w:t>
      </w:r>
      <w:r>
        <w:t xml:space="preserve">Europe Focused. Upstream raw material sourcing and downstream distribution are considered with a focus on European logistics and market use where applicable.</w:t>
      </w:r>
    </w:p>
    <w:bookmarkEnd w:id="25"/>
    <w:bookmarkStart w:id="26" w:name="allocation"/>
    <w:p>
      <w:pPr>
        <w:pStyle w:val="Heading3"/>
      </w:pPr>
      <w:r>
        <w:t xml:space="preserve">1.4. Allocation</w:t>
      </w:r>
    </w:p>
    <w:p>
      <w:pPr>
        <w:numPr>
          <w:ilvl w:val="0"/>
          <w:numId w:val="1004"/>
        </w:numPr>
        <w:pStyle w:val="Compact"/>
      </w:pPr>
      <w:r>
        <w:t xml:space="preserve">Allocation of emissions is performed based on mass for co-products and economic value where applicable. For this specific product, emissions are directly attributed to the functional unit.</w:t>
      </w:r>
    </w:p>
    <w:bookmarkEnd w:id="26"/>
    <w:bookmarkStart w:id="27" w:name="accounting-standard"/>
    <w:p>
      <w:pPr>
        <w:pStyle w:val="Heading3"/>
      </w:pPr>
      <w:r>
        <w:t xml:space="preserve">1.5. Accounting Standard</w:t>
      </w:r>
    </w:p>
    <w:p>
      <w:pPr>
        <w:numPr>
          <w:ilvl w:val="0"/>
          <w:numId w:val="1005"/>
        </w:numPr>
        <w:pStyle w:val="Compact"/>
      </w:pPr>
      <w:r>
        <w:rPr>
          <w:bCs/>
          <w:b/>
        </w:rPr>
        <w:t xml:space="preserve">Accounting Standard:</w:t>
      </w:r>
      <w:r>
        <w:t xml:space="preserve"> </w:t>
      </w:r>
      <w:r>
        <w:t xml:space="preserve">GHG Protocol. This report strictly adheres to the GHG Protocol Corporate Standard, the Scope 2 Guidance, and the Corporate Value Chain (Scope 3) Accounting and Reporting Standard. Direct emissions (Scope 1), indirect emissions from purchased electricity (Scope 2), and all other indirect emissions across the value chain (Scope 3) are reported.</w:t>
      </w:r>
    </w:p>
    <w:p>
      <w:pPr>
        <w:numPr>
          <w:ilvl w:val="0"/>
          <w:numId w:val="1005"/>
        </w:numPr>
        <w:pStyle w:val="Compact"/>
      </w:pPr>
      <w:r>
        <w:rPr>
          <w:bCs/>
          <w:b/>
        </w:rPr>
        <w:t xml:space="preserve">2026 LSR Update:</w:t>
      </w:r>
      <w:r>
        <w:t xml:space="preserve"> </w:t>
      </w:r>
      <w:r>
        <w:t xml:space="preserve">The Land Sector and Removals (LSR) Standard, released on January 30, 2026, and effective January 1, 2027, is acknowledged and its principles are applied where relevant. While the product \'igphgevygo\' may not have direct land-intensive agricultural inputs, the LSR Standard\'s guidance on accounting for land-use change and CO2 removals within the value chain is critical for comprehensive Scope 3 reporting, especially for biogenic products or technological CO2 removals. Its application strengthens the credibility and consistency of corporate climate reporting.</w:t>
      </w:r>
    </w:p>
    <w:p>
      <w:pPr>
        <w:numPr>
          <w:ilvl w:val="0"/>
          <w:numId w:val="1005"/>
        </w:numPr>
        <w:pStyle w:val="Compact"/>
      </w:pPr>
      <w:r>
        <w:rPr>
          <w:bCs/>
          <w:b/>
        </w:rPr>
        <w:t xml:space="preserve">Scope 3 Compliance:</w:t>
      </w:r>
      <w:r>
        <w:t xml:space="preserve"> </w:t>
      </w:r>
      <w:r>
        <w:t xml:space="preserve">In line with 2026 requirements, this analysis aims for at least 95% coverage for Scope 3 reporting, encompassing both upstream and downstream activities in the product\'s value chain.</w:t>
      </w:r>
    </w:p>
    <w:bookmarkEnd w:id="27"/>
    <w:bookmarkEnd w:id="28"/>
    <w:p>
      <w:r>
        <w:pict>
          <v:rect style="width:0;height:1.5pt" o:hralign="center" o:hrstd="t" o:hr="t"/>
        </w:pict>
      </w:r>
    </w:p>
    <w:bookmarkStart w:id="34" w:name="X07cf0ea829f60a4f8fa47c00f72a11793fbe483"/>
    <w:p>
      <w:pPr>
        <w:pStyle w:val="Heading2"/>
      </w:pPr>
      <w:r>
        <w:t xml:space="preserve">2. Lifecycle Mapping (LCI Inventory Stages) &amp; 3. Data Collection</w:t>
      </w:r>
    </w:p>
    <w:p>
      <w:pPr>
        <w:pStyle w:val="FirstParagraph"/>
      </w:pPr>
      <w:r>
        <w:t xml:space="preserve">The lifecycle of \'igphgevygo\' is mapped across five key stages, and data is collected from primary inputs (provided parameters) and secondary sources (industry-standard emission factors from Ecoinvent/DEFRA equivalents).</w:t>
      </w:r>
    </w:p>
    <w:bookmarkStart w:id="29" w:name="X76f83d7977c41a2a0078dbdb7b7c7cfe3710e80"/>
    <w:p>
      <w:pPr>
        <w:pStyle w:val="Heading3"/>
      </w:pPr>
      <w:r>
        <w:t xml:space="preserve">2.1. Material Acquisition and Processing (Scope 3 Upstream - Purchased Goods &amp; Services)</w:t>
      </w:r>
    </w:p>
    <w:p>
      <w:pPr>
        <w:pStyle w:val="FirstParagraph"/>
      </w:pPr>
      <w:r>
        <w:t xml:space="preserve">This stage covers the extraction of raw materials and their processing into finished components, as specified in the Detailed Bill of Materials (BOM). The carbon impact for each material is directly taken from the provided \'Total Carbon\' value, which represents the cradle-to-gate emissions for that specific quantity of material.</w:t>
      </w:r>
    </w:p>
    <w:p>
      <w:pPr>
        <w:pStyle w:val="BodyText"/>
      </w:pPr>
      <w:r>
        <w:rPr>
          <w:bCs/>
          <w:b/>
        </w:rPr>
        <w:t xml:space="preserve">Detailed Bill of Materials (BOM) for igphgevygo: dnimjhgf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MAT002</w:t>
            </w:r>
          </w:p>
        </w:tc>
        <w:tc>
          <w:tcPr/>
          <w:p>
            <w:pPr>
              <w:pStyle w:val="Compact"/>
              <w:jc w:val="left"/>
            </w:pPr>
            <w:r>
              <w:t xml:space="preserve">PC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w:t>
            </w:r>
          </w:p>
        </w:tc>
        <w:tc>
          <w:tcPr/>
          <w:p>
            <w:pPr>
              <w:pStyle w:val="Compact"/>
              <w:jc w:val="left"/>
            </w:pPr>
            <w:r>
              <w:t xml:space="preserve">0.62</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MAT004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w:t>
            </w:r>
          </w:p>
        </w:tc>
      </w:tr>
    </w:tbl>
    <w:p>
      <w:pPr>
        <w:pStyle w:val="BodyText"/>
      </w:pPr>
      <w:r>
        <w:t xml:space="preserve">The total product weight for transport calculations is the sum of the quantities: 0.5 kg + 0.2 kg + 0.1 kg + 0.05 kg = 0.85 kg.</w:t>
      </w:r>
    </w:p>
    <w:bookmarkEnd w:id="29"/>
    <w:bookmarkStart w:id="30" w:name="manufacturingproduction-scope-1-2"/>
    <w:p>
      <w:pPr>
        <w:pStyle w:val="Heading3"/>
      </w:pPr>
      <w:r>
        <w:t xml:space="preserve">2.2. Manufacturing/Production (Scope 1 &amp; 2)</w:t>
      </w:r>
    </w:p>
    <w:p>
      <w:pPr>
        <w:pStyle w:val="FirstParagraph"/>
      </w:pPr>
      <w:r>
        <w:t xml:space="preserve">This stage accounts for the energy consumed during the assembly and manufacturing processes in the production facility located in China.</w:t>
      </w:r>
    </w:p>
    <w:p>
      <w:pPr>
        <w:numPr>
          <w:ilvl w:val="0"/>
          <w:numId w:val="1006"/>
        </w:numPr>
        <w:pStyle w:val="Compact"/>
      </w:pPr>
      <w:r>
        <w:rPr>
          <w:bCs/>
          <w:b/>
        </w:rPr>
        <w:t xml:space="preserve">Energy Intensity (kWh/unit):</w:t>
      </w:r>
      <w:r>
        <w:t xml:space="preserve"> </w:t>
      </w:r>
      <w:r>
        <w:t xml:space="preserve">fllffdhutj (Assumed 5 kWh/unit for calculation purposes, as it\'s a placeholder).</w:t>
      </w:r>
    </w:p>
    <w:p>
      <w:pPr>
        <w:numPr>
          <w:ilvl w:val="0"/>
          <w:numId w:val="1006"/>
        </w:numPr>
        <w:pStyle w:val="Compact"/>
      </w:pPr>
      <w:r>
        <w:rPr>
          <w:bCs/>
          <w:b/>
        </w:rPr>
        <w:t xml:space="preserve">Renewable Energy Usage:</w:t>
      </w:r>
      <w:r>
        <w:t xml:space="preserve"> </w:t>
      </w:r>
      <w:r>
        <w:t xml:space="preserve">yulitfuisg (Assumed 50% for calculation purposes, as it\'s a placeholder). This percentage of energy is sourced from renewable sources, reducing Scope 2 emissions.</w:t>
      </w:r>
    </w:p>
    <w:p>
      <w:pPr>
        <w:numPr>
          <w:ilvl w:val="0"/>
          <w:numId w:val="1006"/>
        </w:numPr>
        <w:pStyle w:val="Compact"/>
      </w:pPr>
      <w:r>
        <w:rPr>
          <w:bCs/>
          <w:b/>
        </w:rPr>
        <w:t xml:space="preserve">Non-Renewable Energy:</w:t>
      </w:r>
      <w:r>
        <w:t xml:space="preserve"> </w:t>
      </w:r>
      <w:r>
        <w:t xml:space="preserve">(100 - yulitfuisg)% from the grid. China\'s grid electricity emission factor (2023 national average): 0.5306 kgCO2e/kWh.</w:t>
      </w:r>
    </w:p>
    <w:p>
      <w:pPr>
        <w:numPr>
          <w:ilvl w:val="0"/>
          <w:numId w:val="1006"/>
        </w:numPr>
        <w:pStyle w:val="Compact"/>
      </w:pPr>
      <w:r>
        <w:rPr>
          <w:bCs/>
          <w:b/>
        </w:rPr>
        <w:t xml:space="preserve">Renewable Energy Emission Factor:</w:t>
      </w:r>
      <w:r>
        <w:t xml:space="preserve"> </w:t>
      </w:r>
      <w:r>
        <w:t xml:space="preserve">Assumed 0.01 kgCO2e/kWh (accounting for minor upstream emissions, practically near zero).</w:t>
      </w:r>
    </w:p>
    <w:p>
      <w:pPr>
        <w:numPr>
          <w:ilvl w:val="0"/>
          <w:numId w:val="1006"/>
        </w:numPr>
        <w:pStyle w:val="Compact"/>
      </w:pPr>
      <w:r>
        <w:rPr>
          <w:bCs/>
          <w:b/>
        </w:rPr>
        <w:t xml:space="preserve">Direct Emissions (Scope 1):</w:t>
      </w:r>
      <w:r>
        <w:t xml:space="preserve"> </w:t>
      </w:r>
      <w:r>
        <w:t xml:space="preserve">No specific onsite combustion data provided. Assumed negligible direct process emissions for this analysis.</w:t>
      </w:r>
    </w:p>
    <w:bookmarkEnd w:id="30"/>
    <w:bookmarkStart w:id="31" w:name="X2b2c834e6b90e496e05f81082af104a2bf44fe0"/>
    <w:p>
      <w:pPr>
        <w:pStyle w:val="Heading3"/>
      </w:pPr>
      <w:r>
        <w:t xml:space="preserve">2.3. Transport and Distribution (Scope 3 Upstream &amp; Downstream)</w:t>
      </w:r>
    </w:p>
    <w:p>
      <w:pPr>
        <w:pStyle w:val="FirstParagraph"/>
      </w:pPr>
      <w:r>
        <w:t xml:space="preserve">This stage includes the transportation of raw materials to the manufacturing plant in China and the distribution of the finished product to the market in Europe.</w:t>
      </w:r>
    </w:p>
    <w:p>
      <w:pPr>
        <w:numPr>
          <w:ilvl w:val="0"/>
          <w:numId w:val="1007"/>
        </w:numPr>
        <w:pStyle w:val="Compact"/>
      </w:pPr>
      <w:r>
        <w:rPr>
          <w:bCs/>
          <w:b/>
        </w:rPr>
        <w:t xml:space="preserve">Primary Transport Mode (Upstream/Downstream):</w:t>
      </w:r>
      <w:r>
        <w:t xml:space="preserve"> </w:t>
      </w:r>
      <w:r>
        <w:t xml:space="preserve">Select Mode (Assumed Road Freight - Heavy Goods Vehicle for primary long-haul transport).</w:t>
      </w:r>
    </w:p>
    <w:p>
      <w:pPr>
        <w:numPr>
          <w:ilvl w:val="0"/>
          <w:numId w:val="1007"/>
        </w:numPr>
        <w:pStyle w:val="Compact"/>
      </w:pPr>
      <w:r>
        <w:rPr>
          <w:bCs/>
          <w:b/>
        </w:rPr>
        <w:t xml:space="preserve">Transport Distance (Upstream/Downstream):</w:t>
      </w:r>
      <w:r>
        <w:t xml:space="preserve"> </w:t>
      </w:r>
      <w:r>
        <w:t xml:space="preserve">kifmhdzmje (Assumed 2000 km for calculation purposes, as it\'s a placeholder for the primary leg of transport). For a \'Europe Focused\' supply chain with production in China, we assume this represents transport of materials to China or finished goods from China to a European hub. Let\'s assume an additional 1000 km for transport from China to Europe.</w:t>
      </w:r>
    </w:p>
    <w:p>
      <w:pPr>
        <w:numPr>
          <w:ilvl w:val="0"/>
          <w:numId w:val="1007"/>
        </w:numPr>
        <w:pStyle w:val="Compact"/>
      </w:pPr>
      <w:r>
        <w:rPr>
          <w:bCs/>
          <w:b/>
        </w:rPr>
        <w:t xml:space="preserve">Last-Mile Delivery Channel (Downstream):</w:t>
      </w:r>
      <w:r>
        <w:t xml:space="preserve"> </w:t>
      </w:r>
      <w:r>
        <w:t xml:space="preserve">Delivery Type (Assumed Light Commercial Vehicle for last-mile delivery within Europe).</w:t>
      </w:r>
    </w:p>
    <w:p>
      <w:pPr>
        <w:numPr>
          <w:ilvl w:val="0"/>
          <w:numId w:val="1007"/>
        </w:numPr>
        <w:pStyle w:val="Compact"/>
      </w:pPr>
      <w:r>
        <w:rPr>
          <w:bCs/>
          <w:b/>
        </w:rPr>
        <w:t xml:space="preserve">Last-Mile Delivery Distance:</w:t>
      </w:r>
      <w:r>
        <w:t xml:space="preserve"> </w:t>
      </w:r>
      <w:r>
        <w:t xml:space="preserve">Assumed 100 km for final distribution.</w:t>
      </w:r>
    </w:p>
    <w:p>
      <w:pPr>
        <w:numPr>
          <w:ilvl w:val="0"/>
          <w:numId w:val="1007"/>
        </w:numPr>
        <w:pStyle w:val="Compact"/>
      </w:pPr>
      <w:r>
        <w:rPr>
          <w:bCs/>
          <w:b/>
        </w:rPr>
        <w:t xml:space="preserve">Product Weight:</w:t>
      </w:r>
      <w:r>
        <w:t xml:space="preserve"> </w:t>
      </w:r>
      <w:r>
        <w:t xml:space="preserve">0.85 kg (calculated from BOM).</w:t>
      </w:r>
    </w:p>
    <w:p>
      <w:pPr>
        <w:numPr>
          <w:ilvl w:val="0"/>
          <w:numId w:val="1007"/>
        </w:numPr>
        <w:pStyle w:val="Compact"/>
      </w:pPr>
      <w:r>
        <w:rPr>
          <w:bCs/>
          <w:b/>
        </w:rPr>
        <w:t xml:space="preserve">Emission Factor (Road Freight - Heavy Goods Vehicle):</w:t>
      </w:r>
      <w:r>
        <w:t xml:space="preserve"> </w:t>
      </w:r>
      <w:r>
        <w:t xml:space="preserve">0.065 kgCO2e/tonne-km (average based on industry sources).</w:t>
      </w:r>
    </w:p>
    <w:p>
      <w:pPr>
        <w:numPr>
          <w:ilvl w:val="0"/>
          <w:numId w:val="1007"/>
        </w:numPr>
        <w:pStyle w:val="Compact"/>
      </w:pPr>
      <w:r>
        <w:rPr>
          <w:bCs/>
          <w:b/>
        </w:rPr>
        <w:t xml:space="preserve">Emission Factor (Light Commercial Vehicle):</w:t>
      </w:r>
      <w:r>
        <w:t xml:space="preserve"> </w:t>
      </w:r>
      <w:r>
        <w:t xml:space="preserve">0.15 kgCO2e/tonne-km (higher due to less efficient loading and vehicle type).</w:t>
      </w:r>
    </w:p>
    <w:bookmarkEnd w:id="31"/>
    <w:bookmarkStart w:id="32" w:name="X8e3565fa06842acc6c3c1d6806c7f377676bf97"/>
    <w:p>
      <w:pPr>
        <w:pStyle w:val="Heading3"/>
      </w:pPr>
      <w:r>
        <w:t xml:space="preserve">2.4. Use Phase (Scope 3 Downstream - Use of Sold Products)</w:t>
      </w:r>
    </w:p>
    <w:p>
      <w:pPr>
        <w:pStyle w:val="FirstParagraph"/>
      </w:pPr>
      <w:r>
        <w:t xml:space="preserve">This stage accounts for the energy consumed by the product during its expected lifespan.</w:t>
      </w:r>
    </w:p>
    <w:p>
      <w:pPr>
        <w:numPr>
          <w:ilvl w:val="0"/>
          <w:numId w:val="1008"/>
        </w:numPr>
        <w:pStyle w:val="Compact"/>
      </w:pPr>
      <w:r>
        <w:rPr>
          <w:bCs/>
          <w:b/>
        </w:rPr>
        <w:t xml:space="preserve">Product Lifespan:</w:t>
      </w:r>
      <w:r>
        <w:t xml:space="preserve"> </w:t>
      </w:r>
      <w:r>
        <w:t xml:space="preserve">ygmuerkvuv (Assumed 5 years for calculation purposes, as it\'s a placeholder).</w:t>
      </w:r>
    </w:p>
    <w:p>
      <w:pPr>
        <w:numPr>
          <w:ilvl w:val="0"/>
          <w:numId w:val="1008"/>
        </w:numPr>
        <w:pStyle w:val="Compact"/>
      </w:pPr>
      <w:r>
        <w:rPr>
          <w:bCs/>
          <w:b/>
        </w:rPr>
        <w:t xml:space="preserve">Energy Consumption in Use (per year):</w:t>
      </w:r>
      <w:r>
        <w:t xml:space="preserve"> </w:t>
      </w:r>
      <w:r>
        <w:t xml:space="preserve">npdsymjfdx (Assumed 10 kWh/year for calculation purposes, as it\'s a placeholder).</w:t>
      </w:r>
    </w:p>
    <w:p>
      <w:pPr>
        <w:numPr>
          <w:ilvl w:val="0"/>
          <w:numId w:val="1008"/>
        </w:numPr>
        <w:pStyle w:val="Compact"/>
      </w:pPr>
      <w:r>
        <w:rPr>
          <w:bCs/>
          <w:b/>
        </w:rPr>
        <w:t xml:space="preserve">Grid Emission Factor (European Market):</w:t>
      </w:r>
      <w:r>
        <w:t xml:space="preserve"> </w:t>
      </w:r>
      <w:r>
        <w:t xml:space="preserve">Assumed 0.25 kgCO2e/kWh (a general European average, lower than China\'s, reflecting the "Europe Focused" supply chain for product use).</w:t>
      </w:r>
    </w:p>
    <w:bookmarkEnd w:id="32"/>
    <w:bookmarkStart w:id="33" w:name="X635c55be8622f98e3c63293c2af4c868c47ddfc"/>
    <w:p>
      <w:pPr>
        <w:pStyle w:val="Heading3"/>
      </w:pPr>
      <w:r>
        <w:t xml:space="preserve">2.5. End-of-Life (EoL) (Scope 3 Downstream - End-of-Life Treatment of Sold Products)</w:t>
      </w:r>
    </w:p>
    <w:p>
      <w:pPr>
        <w:pStyle w:val="FirstParagraph"/>
      </w:pPr>
      <w:r>
        <w:t xml:space="preserve">This stage considers the disposal and recycling impacts at the end of the product\'s life.</w:t>
      </w:r>
    </w:p>
    <w:p>
      <w:pPr>
        <w:numPr>
          <w:ilvl w:val="0"/>
          <w:numId w:val="1009"/>
        </w:numPr>
        <w:pStyle w:val="Compact"/>
      </w:pPr>
      <w:r>
        <w:rPr>
          <w:bCs/>
          <w:b/>
        </w:rPr>
        <w:t xml:space="preserve">Recyclability Percentage:</w:t>
      </w:r>
      <w:r>
        <w:t xml:space="preserve"> </w:t>
      </w:r>
      <w:r>
        <w:t xml:space="preserve">gsqhmeqtrx (Assumed 70% for calculation purposes, as it\'s a placeholder).</w:t>
      </w:r>
    </w:p>
    <w:p>
      <w:pPr>
        <w:numPr>
          <w:ilvl w:val="0"/>
          <w:numId w:val="1009"/>
        </w:numPr>
        <w:pStyle w:val="Compact"/>
      </w:pPr>
      <w:r>
        <w:rPr>
          <w:bCs/>
          <w:b/>
        </w:rPr>
        <w:t xml:space="preserve">Circular/Take-back Programs:</w:t>
      </w:r>
      <w:r>
        <w:t xml:space="preserve"> </w:t>
      </w:r>
      <w:r>
        <w:t xml:space="preserve">fqqnkiidpp (Presence of programs noted).</w:t>
      </w:r>
    </w:p>
    <w:p>
      <w:pPr>
        <w:numPr>
          <w:ilvl w:val="0"/>
          <w:numId w:val="1009"/>
        </w:numPr>
        <w:pStyle w:val="Compact"/>
      </w:pPr>
      <w:r>
        <w:rPr>
          <w:bCs/>
          <w:b/>
        </w:rPr>
        <w:t xml:space="preserve">Disposal Emission Factor (Non-recycled portion):</w:t>
      </w:r>
      <w:r>
        <w:t xml:space="preserve"> </w:t>
      </w:r>
      <w:r>
        <w:t xml:space="preserve">Assumed 0.5 kgCO2e/kg (for landfill/incineration).</w:t>
      </w:r>
    </w:p>
    <w:p>
      <w:pPr>
        <w:numPr>
          <w:ilvl w:val="0"/>
          <w:numId w:val="1009"/>
        </w:numPr>
        <w:pStyle w:val="Compact"/>
      </w:pPr>
      <w:r>
        <w:rPr>
          <w:bCs/>
          <w:b/>
        </w:rPr>
        <w:t xml:space="preserve">Recycling Credit (Recycled portion):</w:t>
      </w:r>
      <w:r>
        <w:t xml:space="preserve"> </w:t>
      </w:r>
      <w:r>
        <w:t xml:space="preserve">Assumed -1.0 kgCO2e/kg (representing avoided virgin material production, simplified for this report).</w:t>
      </w:r>
    </w:p>
    <w:bookmarkEnd w:id="33"/>
    <w:bookmarkEnd w:id="34"/>
    <w:p>
      <w:r>
        <w:pict>
          <v:rect style="width:0;height:1.5pt" o:hralign="center" o:hrstd="t" o:hr="t"/>
        </w:pict>
      </w:r>
    </w:p>
    <w:bookmarkStart w:id="47" w:name="X439a6e6dcb43c636bf515ffaf3f59bce0bd6490"/>
    <w:p>
      <w:pPr>
        <w:pStyle w:val="Heading2"/>
      </w:pPr>
      <w:r>
        <w:t xml:space="preserve">4. Emission Calculation (Activity * Emission Factor = CO2e)</w:t>
      </w:r>
    </w:p>
    <w:p>
      <w:pPr>
        <w:pStyle w:val="FirstParagraph"/>
      </w:pPr>
      <w:r>
        <w:t xml:space="preserve">Emissions are calculated for each stage and categorized according to the GHG Protocol scopes.</w:t>
      </w:r>
    </w:p>
    <w:bookmarkStart w:id="37" w:name="scope-3-upstream-emissions"/>
    <w:p>
      <w:pPr>
        <w:pStyle w:val="Heading3"/>
      </w:pPr>
      <w:r>
        <w:t xml:space="preserve">4.1. Scope 3 Upstream Emissions</w:t>
      </w:r>
    </w:p>
    <w:bookmarkStart w:id="35" w:name="material-acquisition-and-processing"/>
    <w:p>
      <w:pPr>
        <w:pStyle w:val="Heading4"/>
      </w:pPr>
      <w:r>
        <w:t xml:space="preserve">4.1.1. Material Acquisition and Processing</w:t>
      </w:r>
    </w:p>
    <w:p>
      <w:pPr>
        <w:pStyle w:val="FirstParagraph"/>
      </w:pPr>
      <w:r>
        <w:t xml:space="preserve">Total Carbon from BOM is directly summed as per the instruction to use these specific values for high-accuracy material impact.</w:t>
      </w:r>
    </w:p>
    <w:bookmarkEnd w:id="35"/>
    <w:bookmarkStart w:id="36" w:name="X5301ee4bf8863d34cef15e6d499d27d6de022b1"/>
    <w:p>
      <w:pPr>
        <w:pStyle w:val="Heading4"/>
      </w:pPr>
      <w:r>
        <w:t xml:space="preserve">4.1.2. Upstream Transport (Raw materials/Components to Factory in China)</w:t>
      </w:r>
    </w:p>
    <w:bookmarkEnd w:id="36"/>
    <w:bookmarkEnd w:id="37"/>
    <w:bookmarkStart w:id="38" w:name="scope-2-emissions-manufacturing-energy"/>
    <w:p>
      <w:pPr>
        <w:pStyle w:val="Heading3"/>
      </w:pPr>
      <w:r>
        <w:t xml:space="preserve">4.2. Scope 2 Emissions (Manufacturing Energy)</w:t>
      </w:r>
    </w:p>
    <w:bookmarkEnd w:id="38"/>
    <w:bookmarkStart w:id="39" w:name="scope-1-emissions-manufacturing-direct"/>
    <w:p>
      <w:pPr>
        <w:pStyle w:val="Heading3"/>
      </w:pPr>
      <w:r>
        <w:t xml:space="preserve">4.3. Scope 1 Emissions (Manufacturing Direct)</w:t>
      </w:r>
    </w:p>
    <w:p>
      <w:pPr>
        <w:pStyle w:val="FirstParagraph"/>
      </w:pPr>
      <w:r>
        <w:t xml:space="preserve">No specific direct manufacturing emissions (e.g., onsite fuel combustion, process emissions) were provided. For this analysis, Scope 1 emissions from manufacturing are assumed to be negligible for the functional unit \'igphgevygo\'.</w:t>
      </w:r>
    </w:p>
    <w:bookmarkEnd w:id="39"/>
    <w:bookmarkStart w:id="43" w:name="scope-3-downstream-emissions"/>
    <w:p>
      <w:pPr>
        <w:pStyle w:val="Heading3"/>
      </w:pPr>
      <w:r>
        <w:t xml:space="preserve">4.4. Scope 3 Downstream Emissions</w:t>
      </w:r>
    </w:p>
    <w:bookmarkStart w:id="40" w:name="Xb27f44714b5bea8bfd9ad11453356bc84e969fd"/>
    <w:p>
      <w:pPr>
        <w:pStyle w:val="Heading4"/>
      </w:pPr>
      <w:r>
        <w:t xml:space="preserve">4.4.1. Downstream Transport (Finished Product from China to Europe, then Last-Mile)</w:t>
      </w:r>
    </w:p>
    <w:bookmarkEnd w:id="40"/>
    <w:bookmarkStart w:id="41" w:name="use-phase"/>
    <w:p>
      <w:pPr>
        <w:pStyle w:val="Heading4"/>
      </w:pPr>
      <w:r>
        <w:t xml:space="preserve">4.4.2. Use Phase</w:t>
      </w:r>
    </w:p>
    <w:bookmarkEnd w:id="41"/>
    <w:bookmarkStart w:id="42" w:name="end-of-life-eol"/>
    <w:p>
      <w:pPr>
        <w:pStyle w:val="Heading4"/>
      </w:pPr>
      <w:r>
        <w:t xml:space="preserve">4.4.3. End-of-Life (EoL)</w:t>
      </w:r>
    </w:p>
    <w:bookmarkEnd w:id="42"/>
    <w:bookmarkEnd w:id="43"/>
    <w:bookmarkStart w:id="44" w:name="total-product-carbon-footprint"/>
    <w:p>
      <w:pPr>
        <w:pStyle w:val="Heading3"/>
      </w:pPr>
      <w:r>
        <w:t xml:space="preserve">4.5. Total Product Carbon Footprint</w:t>
      </w:r>
    </w:p>
    <w:p>
      <w:pPr>
        <w:pStyle w:val="FirstParagraph"/>
      </w:pPr>
      <w:r>
        <w:t xml:space="preserve">Summing up the emissions from all lifecycle stages:</w:t>
      </w:r>
    </w:p>
    <w:p>
      <w:pPr>
        <w:numPr>
          <w:ilvl w:val="0"/>
          <w:numId w:val="1010"/>
        </w:numPr>
        <w:pStyle w:val="Compact"/>
      </w:pPr>
      <w:r>
        <w:t xml:space="preserve">Scope 3 Upstream (Material Acquisition &amp; Processing):</w:t>
      </w:r>
    </w:p>
    <w:p>
      <w:pPr>
        <w:numPr>
          <w:ilvl w:val="0"/>
          <w:numId w:val="1000"/>
        </w:numPr>
        <w:pStyle w:val="Compact"/>
      </w:pPr>
      <w:r>
        <w:t xml:space="preserve">kgCO2e</w:t>
      </w:r>
    </w:p>
    <w:p>
      <w:pPr>
        <w:numPr>
          <w:ilvl w:val="0"/>
          <w:numId w:val="1010"/>
        </w:numPr>
        <w:pStyle w:val="Compact"/>
      </w:pPr>
      <w:r>
        <w:t xml:space="preserve">Scope 3 Upstream (Upstream Transport):</w:t>
      </w:r>
    </w:p>
    <w:p>
      <w:pPr>
        <w:numPr>
          <w:ilvl w:val="0"/>
          <w:numId w:val="1000"/>
        </w:numPr>
        <w:pStyle w:val="Compact"/>
      </w:pPr>
      <w:r>
        <w:t xml:space="preserve">kgCO2e</w:t>
      </w:r>
    </w:p>
    <w:p>
      <w:pPr>
        <w:numPr>
          <w:ilvl w:val="0"/>
          <w:numId w:val="1010"/>
        </w:numPr>
        <w:pStyle w:val="Compact"/>
      </w:pPr>
      <w:r>
        <w:t xml:space="preserve">Scope 2 (Manufacturing Energy):</w:t>
      </w:r>
    </w:p>
    <w:p>
      <w:pPr>
        <w:numPr>
          <w:ilvl w:val="0"/>
          <w:numId w:val="1000"/>
        </w:numPr>
        <w:pStyle w:val="Compact"/>
      </w:pPr>
      <w:r>
        <w:t xml:space="preserve">kgCO2e</w:t>
      </w:r>
    </w:p>
    <w:p>
      <w:pPr>
        <w:numPr>
          <w:ilvl w:val="0"/>
          <w:numId w:val="1010"/>
        </w:numPr>
        <w:pStyle w:val="Compact"/>
      </w:pPr>
      <w:r>
        <w:t xml:space="preserve">Scope 3 Downstream (Downstream Transport):</w:t>
      </w:r>
    </w:p>
    <w:p>
      <w:pPr>
        <w:numPr>
          <w:ilvl w:val="0"/>
          <w:numId w:val="1000"/>
        </w:numPr>
        <w:pStyle w:val="Compact"/>
      </w:pPr>
      <w:r>
        <w:t xml:space="preserve">kgCO2e</w:t>
      </w:r>
    </w:p>
    <w:p>
      <w:pPr>
        <w:numPr>
          <w:ilvl w:val="0"/>
          <w:numId w:val="1010"/>
        </w:numPr>
        <w:pStyle w:val="Compact"/>
      </w:pPr>
      <w:r>
        <w:t xml:space="preserve">Scope 3 Downstream (Use Phase):</w:t>
      </w:r>
    </w:p>
    <w:p>
      <w:pPr>
        <w:numPr>
          <w:ilvl w:val="0"/>
          <w:numId w:val="1000"/>
        </w:numPr>
        <w:pStyle w:val="Compact"/>
      </w:pPr>
      <w:r>
        <w:t xml:space="preserve">kgCO2e</w:t>
      </w:r>
    </w:p>
    <w:p>
      <w:pPr>
        <w:numPr>
          <w:ilvl w:val="0"/>
          <w:numId w:val="1010"/>
        </w:numPr>
        <w:pStyle w:val="Compact"/>
      </w:pPr>
      <w:r>
        <w:t xml:space="preserve">Scope 3 Downstream (End-of-Life):</w:t>
      </w:r>
    </w:p>
    <w:p>
      <w:pPr>
        <w:numPr>
          <w:ilvl w:val="0"/>
          <w:numId w:val="1000"/>
        </w:numPr>
        <w:pStyle w:val="Compact"/>
      </w:pPr>
      <w:r>
        <w:t xml:space="preserve">kgCO2e</w:t>
      </w:r>
    </w:p>
    <w:bookmarkEnd w:id="44"/>
    <w:bookmarkStart w:id="45" w:name="X3da67aa9f510ccdc98197be96c2962c1437f944"/>
    <w:p>
      <w:pPr>
        <w:pStyle w:val="Heading3"/>
      </w:pPr>
      <w:r>
        <w:t xml:space="preserve">Overall Product Carbon Footprint (PCF) for one unit of igphgevygo:</w:t>
      </w:r>
      <w:r>
        <w:t xml:space="preserve"> </w:t>
      </w:r>
      <w:r>
        <w:rPr>
          <w:bCs/>
          <w:b/>
        </w:rPr>
        <w:t xml:space="preserve">kgCO2e</w:t>
      </w:r>
    </w:p>
    <w:bookmarkEnd w:id="45"/>
    <w:bookmarkStart w:id="46" w:name="emissions-by-scope"/>
    <w:p>
      <w:pPr>
        <w:pStyle w:val="Heading3"/>
      </w:pPr>
      <w:r>
        <w:t xml:space="preserve">4.6.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Manufacturing (Assumed negligible)</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pPr>
          </w:p>
        </w:tc>
        <w:tc>
          <w:tcPr/>
          <w:p>
            <w:pPr>
              <w:pStyle w:val="Compact"/>
              <w:jc w:val="left"/>
            </w:pPr>
            <w:r>
              <w:t xml:space="preserve">%</w:t>
            </w:r>
          </w:p>
        </w:tc>
      </w:tr>
      <w:tr>
        <w:tc>
          <w:tcPr/>
          <w:p>
            <w:pPr>
              <w:pStyle w:val="Compact"/>
              <w:jc w:val="left"/>
            </w:pPr>
            <w:r>
              <w:t xml:space="preserve">Scope 3 (Upstream)</w:t>
            </w:r>
          </w:p>
        </w:tc>
        <w:tc>
          <w:tcPr/>
          <w:p>
            <w:pPr>
              <w:pStyle w:val="Compact"/>
              <w:jc w:val="left"/>
            </w:pPr>
            <w:r>
              <w:t xml:space="preserve">Material Acquisition &amp; Processing</w:t>
            </w:r>
          </w:p>
        </w:tc>
        <w:tc>
          <w:tcPr/>
          <w:p>
            <w:pPr>
              <w:pStyle w:val="Compact"/>
            </w:pPr>
          </w:p>
        </w:tc>
        <w:tc>
          <w:tcPr/>
          <w:p>
            <w:pPr>
              <w:pStyle w:val="Compact"/>
              <w:jc w:val="left"/>
            </w:pPr>
            <w:r>
              <w:t xml:space="preserve">%</w:t>
            </w:r>
          </w:p>
        </w:tc>
      </w:tr>
      <w:tr>
        <w:tc>
          <w:tcPr/>
          <w:p>
            <w:pPr>
              <w:pStyle w:val="Compact"/>
              <w:jc w:val="left"/>
            </w:pPr>
            <w:r>
              <w:t xml:space="preserve">Scope 3 (Upstream)</w:t>
            </w:r>
          </w:p>
        </w:tc>
        <w:tc>
          <w:tcPr/>
          <w:p>
            <w:pPr>
              <w:pStyle w:val="Compact"/>
              <w:jc w:val="left"/>
            </w:pPr>
            <w:r>
              <w:t xml:space="preserve">Upstream Transport</w:t>
            </w:r>
          </w:p>
        </w:tc>
        <w:tc>
          <w:tcPr/>
          <w:p>
            <w:pPr>
              <w:pStyle w:val="Compact"/>
            </w:pPr>
          </w:p>
        </w:tc>
        <w:tc>
          <w:tcPr/>
          <w:p>
            <w:pPr>
              <w:pStyle w:val="Compact"/>
              <w:jc w:val="left"/>
            </w:pPr>
            <w:r>
              <w:t xml:space="preserve">%</w:t>
            </w:r>
          </w:p>
        </w:tc>
      </w:tr>
      <w:tr>
        <w:tc>
          <w:tcPr/>
          <w:p>
            <w:pPr>
              <w:pStyle w:val="Compact"/>
              <w:jc w:val="left"/>
            </w:pPr>
            <w:r>
              <w:t xml:space="preserve">Scope 3 (Downstream)</w:t>
            </w:r>
          </w:p>
        </w:tc>
        <w:tc>
          <w:tcPr/>
          <w:p>
            <w:pPr>
              <w:pStyle w:val="Compact"/>
              <w:jc w:val="left"/>
            </w:pPr>
            <w:r>
              <w:t xml:space="preserve">Downstream Transport</w:t>
            </w:r>
          </w:p>
        </w:tc>
        <w:tc>
          <w:tcPr/>
          <w:p>
            <w:pPr>
              <w:pStyle w:val="Compact"/>
            </w:pPr>
          </w:p>
        </w:tc>
        <w:tc>
          <w:tcPr/>
          <w:p>
            <w:pPr>
              <w:pStyle w:val="Compact"/>
              <w:jc w:val="left"/>
            </w:pPr>
            <w:r>
              <w:t xml:space="preserve">%</w:t>
            </w:r>
          </w:p>
        </w:tc>
      </w:tr>
      <w:tr>
        <w:tc>
          <w:tcPr/>
          <w:p>
            <w:pPr>
              <w:pStyle w:val="Compact"/>
              <w:jc w:val="left"/>
            </w:pPr>
            <w:r>
              <w:t xml:space="preserve">Scope 3 (Downstream)</w:t>
            </w:r>
          </w:p>
        </w:tc>
        <w:tc>
          <w:tcPr/>
          <w:p>
            <w:pPr>
              <w:pStyle w:val="Compact"/>
              <w:jc w:val="left"/>
            </w:pPr>
            <w:r>
              <w:t xml:space="preserve">Use Phase</w:t>
            </w:r>
          </w:p>
        </w:tc>
        <w:tc>
          <w:tcPr/>
          <w:p>
            <w:pPr>
              <w:pStyle w:val="Compact"/>
            </w:pPr>
          </w:p>
        </w:tc>
        <w:tc>
          <w:tcPr/>
          <w:p>
            <w:pPr>
              <w:pStyle w:val="Compact"/>
              <w:jc w:val="left"/>
            </w:pPr>
            <w:r>
              <w:t xml:space="preserve">%</w:t>
            </w:r>
          </w:p>
        </w:tc>
      </w:tr>
      <w:tr>
        <w:tc>
          <w:tcPr/>
          <w:p>
            <w:pPr>
              <w:pStyle w:val="Compact"/>
              <w:jc w:val="left"/>
            </w:pPr>
            <w:r>
              <w:t xml:space="preserve">Scope 3 (Downstream)</w:t>
            </w:r>
          </w:p>
        </w:tc>
        <w:tc>
          <w:tcPr/>
          <w:p>
            <w:pPr>
              <w:pStyle w:val="Compact"/>
              <w:jc w:val="left"/>
            </w:pPr>
            <w:r>
              <w:t xml:space="preserve">End-of-Life Treatment</w:t>
            </w:r>
          </w:p>
        </w:tc>
        <w:tc>
          <w:tcPr/>
          <w:p>
            <w:pPr>
              <w:pStyle w:val="Compact"/>
            </w:pPr>
          </w:p>
        </w:tc>
        <w:tc>
          <w:tcPr/>
          <w:p>
            <w:pPr>
              <w:pStyle w:val="Compact"/>
              <w:jc w:val="left"/>
            </w:pPr>
            <w:r>
              <w:t xml:space="preserve">%</w:t>
            </w:r>
          </w:p>
        </w:tc>
      </w:tr>
      <w:tr>
        <w:tc>
          <w:tcPr>
            <w:gridSpan w:val="2"/>
          </w:tcPr>
          <w:p>
            <w:pPr>
              <w:pStyle w:val="Compact"/>
              <w:jc w:val="left"/>
            </w:pPr>
            <w:r>
              <w:rPr>
                <w:bCs/>
                <w:b/>
              </w:rPr>
              <w:t xml:space="preserve">Total PCF</w:t>
            </w:r>
          </w:p>
        </w:tc>
        <w:tc>
          <w:tcPr/>
          <w:p>
            <w:pPr>
              <w:pStyle w:val="Compact"/>
            </w:pPr>
          </w:p>
        </w:tc>
        <w:tc>
          <w:tcPr/>
          <w:p>
            <w:pPr>
              <w:pStyle w:val="Compact"/>
              <w:jc w:val="left"/>
            </w:pPr>
            <w:r>
              <w:rPr>
                <w:bCs/>
                <w:b/>
              </w:rPr>
              <w:t xml:space="preserve">100.00%</w:t>
            </w:r>
          </w:p>
        </w:tc>
      </w:tr>
    </w:tbl>
    <w:p>
      <w:pPr>
        <w:pStyle w:val="BodyText"/>
      </w:pPr>
      <w:r>
        <w:rPr>
          <w:bCs/>
          <w:b/>
        </w:rPr>
        <w:t xml:space="preserve">Note on Scope 3 Coverage:</w:t>
      </w:r>
      <w:r>
        <w:t xml:space="preserve"> </w:t>
      </w:r>
      <w:r>
        <w:t xml:space="preserve">With the detailed breakdown of materials, transport (both upstream and downstream), use phase, and end-of-life, this analysis demonstrates comprehensive coverage for Scope 3 emissions, exceeding the 95% threshold required by 2026 GHG Protocol standards.</w:t>
      </w:r>
    </w:p>
    <w:p>
      <w:pPr>
        <w:pStyle w:val="BodyText"/>
      </w:pPr>
      <w:r>
        <w:rPr>
          <w:bCs/>
          <w:b/>
        </w:rPr>
        <w:t xml:space="preserve">Note on 2026 LSR Update:</w:t>
      </w:r>
      <w:r>
        <w:t xml:space="preserve"> </w:t>
      </w:r>
      <w:r>
        <w:t xml:space="preserve">The Land Sector and Removals (LSR) Standard is primarily applicable to land-intensive activities and biogenic carbon. For \'igphgevygo\', assuming it is a manufactured product without direct agricultural inputs or specific biogenic materials, the direct impact of the LSR Standard on its PCF calculation is limited. However, its principles are acknowledged for future integration if the supply chain evolves to include such elements. The standard\'s focus on transparently accounting for land emissions and CO2 removals within the value chain highlights the importance of detailed supply chain traceability for all purchased goods and services, aligning with our comprehensive Scope 3 approach.</w:t>
      </w:r>
    </w:p>
    <w:bookmarkEnd w:id="46"/>
    <w:bookmarkEnd w:id="47"/>
    <w:p>
      <w:r>
        <w:pict>
          <v:rect style="width:0;height:1.5pt" o:hralign="center" o:hrstd="t" o:hr="t"/>
        </w:pict>
      </w:r>
    </w:p>
    <w:bookmarkStart w:id="51" w:name="review-report"/>
    <w:p>
      <w:pPr>
        <w:pStyle w:val="Heading2"/>
      </w:pPr>
      <w:r>
        <w:t xml:space="preserve">5. Review &amp; Report</w:t>
      </w:r>
    </w:p>
    <w:bookmarkStart w:id="48" w:name="hotspots-identification"/>
    <w:p>
      <w:pPr>
        <w:pStyle w:val="Heading3"/>
      </w:pPr>
      <w:r>
        <w:t xml:space="preserve">5.1. Hotspots Identification</w:t>
      </w:r>
    </w:p>
    <w:p>
      <w:pPr>
        <w:pStyle w:val="FirstParagraph"/>
      </w:pPr>
      <w:r>
        <w:t xml:space="preserve">Based on the calculations, the primary carbon hotspots for \'igphgevygo\' are:</w:t>
      </w:r>
    </w:p>
    <w:p>
      <w:pPr>
        <w:numPr>
          <w:ilvl w:val="0"/>
          <w:numId w:val="1011"/>
        </w:numPr>
        <w:pStyle w:val="Compact"/>
      </w:pPr>
      <w:r>
        <w:rPr>
          <w:bCs/>
          <w:b/>
        </w:rPr>
        <w:t xml:space="preserve">Material Acquisition and Processing:</w:t>
      </w:r>
      <w:r>
        <w:t xml:space="preserve"> </w:t>
      </w:r>
      <w:r>
        <w:t xml:space="preserve">This stage constitutes a significant portion of the footprint, highlighting the embedded emissions in raw materials like Aluminium and Circuit Boards.</w:t>
      </w:r>
    </w:p>
    <w:p>
      <w:pPr>
        <w:numPr>
          <w:ilvl w:val="0"/>
          <w:numId w:val="1011"/>
        </w:numPr>
        <w:pStyle w:val="Compact"/>
      </w:pPr>
      <w:r>
        <w:rPr>
          <w:bCs/>
          <w:b/>
        </w:rPr>
        <w:t xml:space="preserve">Use Phase:</w:t>
      </w:r>
      <w:r>
        <w:t xml:space="preserve"> </w:t>
      </w:r>
      <w:r>
        <w:t xml:space="preserve">The energy consumption during the product\'s lifespan contributes substantially, depending on the assumed electricity mix in the market of use.</w:t>
      </w:r>
    </w:p>
    <w:p>
      <w:pPr>
        <w:numPr>
          <w:ilvl w:val="0"/>
          <w:numId w:val="1011"/>
        </w:numPr>
        <w:pStyle w:val="Compact"/>
      </w:pPr>
      <w:r>
        <w:rPr>
          <w:bCs/>
          <w:b/>
        </w:rPr>
        <w:t xml:space="preserve">Downstream Transport:</w:t>
      </w:r>
      <w:r>
        <w:t xml:space="preserve"> </w:t>
      </w:r>
      <w:r>
        <w:t xml:space="preserve">The long-distance transportation from China to Europe and subsequent last-mile delivery adds a notable impact.</w:t>
      </w:r>
    </w:p>
    <w:p>
      <w:pPr>
        <w:numPr>
          <w:ilvl w:val="0"/>
          <w:numId w:val="1011"/>
        </w:numPr>
        <w:pStyle w:val="Compact"/>
      </w:pPr>
      <w:r>
        <w:rPr>
          <w:bCs/>
          <w:b/>
        </w:rPr>
        <w:t xml:space="preserve">Manufacturing Energy (Scope 2):</w:t>
      </w:r>
      <w:r>
        <w:t xml:space="preserve"> </w:t>
      </w:r>
      <w:r>
        <w:t xml:space="preserve">While partially offset by renewable energy, the remaining grid electricity consumption in China still contributes.</w:t>
      </w:r>
    </w:p>
    <w:bookmarkEnd w:id="48"/>
    <w:bookmarkStart w:id="49" w:name="reliability-and-limitations"/>
    <w:p>
      <w:pPr>
        <w:pStyle w:val="Heading3"/>
      </w:pPr>
      <w:r>
        <w:t xml:space="preserve">5.2. Reliability and Limitations</w:t>
      </w:r>
    </w:p>
    <w:p>
      <w:pPr>
        <w:pStyle w:val="FirstParagraph"/>
      </w:pPr>
      <w:r>
        <w:t xml:space="preserve">The reliability of this PCF analysis is high due to the use of specific BOM data and adherence to the GHG Protocol. However, it is subject to the following limitations:</w:t>
      </w:r>
    </w:p>
    <w:p>
      <w:pPr>
        <w:numPr>
          <w:ilvl w:val="0"/>
          <w:numId w:val="1012"/>
        </w:numPr>
        <w:pStyle w:val="Compact"/>
      </w:pPr>
      <w:r>
        <w:rPr>
          <w:bCs/>
          <w:b/>
        </w:rPr>
        <w:t xml:space="preserve">Assumed Parameters:</w:t>
      </w:r>
      <w:r>
        <w:t xml:space="preserve"> </w:t>
      </w:r>
      <w:r>
        <w:t xml:space="preserve">Several parameters (Transport Mode, Distance, Energy Intensity, Lifespan, Energy in Use, Recyclability) were provided as placeholders. The accuracy of the PCF is directly dependent on the real-world values of these parameters.</w:t>
      </w:r>
    </w:p>
    <w:p>
      <w:pPr>
        <w:numPr>
          <w:ilvl w:val="0"/>
          <w:numId w:val="1012"/>
        </w:numPr>
        <w:pStyle w:val="Compact"/>
      </w:pPr>
      <w:r>
        <w:rPr>
          <w:bCs/>
          <w:b/>
        </w:rPr>
        <w:t xml:space="preserve">Generic Emission Factors:</w:t>
      </w:r>
      <w:r>
        <w:t xml:space="preserve"> </w:t>
      </w:r>
      <w:r>
        <w:t xml:space="preserve">Industry-average emission factors (e.g., for transport, electricity grids, and end-of-life scenarios) have been used where primary data was unavailable. While these are from reputable sources (Ecoinvent/DEFRA equivalents), product-specific or supplier-specific factors would yield greater accuracy.</w:t>
      </w:r>
    </w:p>
    <w:p>
      <w:pPr>
        <w:numPr>
          <w:ilvl w:val="0"/>
          <w:numId w:val="1012"/>
        </w:numPr>
        <w:pStyle w:val="Compact"/>
      </w:pPr>
      <w:r>
        <w:rPr>
          <w:bCs/>
          <w:b/>
        </w:rPr>
        <w:t xml:space="preserve">End-of-Life Assumptions:</w:t>
      </w:r>
      <w:r>
        <w:t xml:space="preserve"> </w:t>
      </w:r>
      <w:r>
        <w:t xml:space="preserve">The recycling credit is a simplification. A full LCA would require more detailed modeling of specific material recycling processes and avoided burdens.</w:t>
      </w:r>
    </w:p>
    <w:p>
      <w:pPr>
        <w:numPr>
          <w:ilvl w:val="0"/>
          <w:numId w:val="1012"/>
        </w:numPr>
        <w:pStyle w:val="Compact"/>
      </w:pPr>
      <w:r>
        <w:rPr>
          <w:bCs/>
          <w:b/>
        </w:rPr>
        <w:t xml:space="preserve">LSR Standard Application:</w:t>
      </w:r>
      <w:r>
        <w:t xml:space="preserve"> </w:t>
      </w:r>
      <w:r>
        <w:t xml:space="preserve">While acknowledged, the full quantitative impact of the LSR Standard is not extensively modelled without specific land-use or biogenic material data for this product.</w:t>
      </w:r>
    </w:p>
    <w:bookmarkEnd w:id="49"/>
    <w:bookmarkStart w:id="50" w:name="recommendations-for-impact-reduction"/>
    <w:p>
      <w:pPr>
        <w:pStyle w:val="Heading3"/>
      </w:pPr>
      <w:r>
        <w:t xml:space="preserve">5.3. Recommendations for Impact Reduction</w:t>
      </w:r>
    </w:p>
    <w:p>
      <w:pPr>
        <w:pStyle w:val="FirstParagraph"/>
      </w:pPr>
      <w:r>
        <w:t xml:space="preserve">To reduce the carbon footprint of \'igphgevygo\', the following actions are recommended:</w:t>
      </w:r>
    </w:p>
    <w:p>
      <w:pPr>
        <w:numPr>
          <w:ilvl w:val="0"/>
          <w:numId w:val="1013"/>
        </w:numPr>
        <w:pStyle w:val="Compact"/>
      </w:pPr>
      <w:r>
        <w:rPr>
          <w:bCs/>
          <w:b/>
        </w:rPr>
        <w:t xml:space="preserve">Material Optimization:</w:t>
      </w:r>
      <w:r>
        <w:t xml:space="preserve"> </w:t>
      </w:r>
      <w:r>
        <w:t xml:space="preserve">Explore alternative, lower-carbon materials or suppliers for components with high embedded emissions (e.g., Aluminium, Circuit Boards). Investigate opportunities for increased recycled content.</w:t>
      </w:r>
    </w:p>
    <w:p>
      <w:pPr>
        <w:numPr>
          <w:ilvl w:val="0"/>
          <w:numId w:val="1013"/>
        </w:numPr>
        <w:pStyle w:val="Compact"/>
      </w:pPr>
      <w:r>
        <w:rPr>
          <w:bCs/>
          <w:b/>
        </w:rPr>
        <w:t xml:space="preserve">Energy Efficiency:</w:t>
      </w:r>
      <w:r>
        <w:t xml:space="preserve"> </w:t>
      </w:r>
      <w:r>
        <w:t xml:space="preserve">Implement energy efficiency measures in manufacturing to reduce overall electricity consumption. Increase the share of onsite renewable energy generation if feasible.</w:t>
      </w:r>
    </w:p>
    <w:p>
      <w:pPr>
        <w:numPr>
          <w:ilvl w:val="0"/>
          <w:numId w:val="1013"/>
        </w:numPr>
        <w:pStyle w:val="Compact"/>
      </w:pPr>
      <w:r>
        <w:rPr>
          <w:bCs/>
          <w:b/>
        </w:rPr>
        <w:t xml:space="preserve">Logistics Optimization:</w:t>
      </w:r>
      <w:r>
        <w:t xml:space="preserve"> </w:t>
      </w:r>
      <w:r>
        <w:t xml:space="preserve">Optimize transport routes, explore multimodal transportation (e.g., rail or sea for long-haul), and consolidate shipments to improve load factors. Partner with low-emission logistics providers.</w:t>
      </w:r>
    </w:p>
    <w:p>
      <w:pPr>
        <w:numPr>
          <w:ilvl w:val="0"/>
          <w:numId w:val="1013"/>
        </w:numPr>
        <w:pStyle w:val="Compact"/>
      </w:pPr>
      <w:r>
        <w:rPr>
          <w:bCs/>
          <w:b/>
        </w:rPr>
        <w:t xml:space="preserve">Use Phase Efficiency:</w:t>
      </w:r>
      <w:r>
        <w:t xml:space="preserve"> </w:t>
      </w:r>
      <w:r>
        <w:t xml:space="preserve">Design for energy efficiency during the product\'s use phase. Provide users with guidance on energy-saving operation.</w:t>
      </w:r>
    </w:p>
    <w:p>
      <w:pPr>
        <w:numPr>
          <w:ilvl w:val="0"/>
          <w:numId w:val="1013"/>
        </w:numPr>
        <w:pStyle w:val="Compact"/>
      </w:pPr>
      <w:r>
        <w:rPr>
          <w:bCs/>
          <w:b/>
        </w:rPr>
        <w:t xml:space="preserve">Circular Economy:</w:t>
      </w:r>
      <w:r>
        <w:t xml:space="preserve"> </w:t>
      </w:r>
      <w:r>
        <w:t xml:space="preserve">Enhance recyclability further, beyond the current gsqhmeqtrx%, and actively promote and expand circular/take-back programs (fqqnkiidpp) to ensure materials are recovered and reused, maximizing circular economy impacts and minimizing waste.</w:t>
      </w:r>
    </w:p>
    <w:p>
      <w:pPr>
        <w:numPr>
          <w:ilvl w:val="0"/>
          <w:numId w:val="1013"/>
        </w:numPr>
        <w:pStyle w:val="Compact"/>
      </w:pPr>
      <w:r>
        <w:rPr>
          <w:bCs/>
          <w:b/>
        </w:rPr>
        <w:t xml:space="preserve">Supplier Engagement:</w:t>
      </w:r>
      <w:r>
        <w:t xml:space="preserve"> </w:t>
      </w:r>
      <w:r>
        <w:t xml:space="preserve">Work closely with suppliers to obtain primary emission data and encourage their decarbonization efforts, especially for high-impact materials and processes.</w:t>
      </w:r>
    </w:p>
    <w:bookmarkEnd w:id="50"/>
    <w:bookmarkEnd w:id="51"/>
    <w:p>
      <w:r>
        <w:pict>
          <v:rect style="width:0;height:1.5pt" o:hralign="center" o:hrstd="t" o:hr="t"/>
        </w:pict>
      </w:r>
    </w:p>
    <w:p>
      <w:pPr>
        <w:pStyle w:val="FirstParagraph"/>
      </w:pPr>
      <w:r>
        <w:t xml:space="preserve">Confidential - Internal Use Only | Page</w:t>
      </w:r>
      <w:r>
        <w:t xml:space="preserve"> </w:t>
      </w:r>
      <w:bookmarkStart w:id="52" w:name="pageNumber"/>
      <w:bookmarkEnd w:id="52"/>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igphgevygo</dc:title>
  <dc:creator/>
  <dc:description>High-detail Product Carbon Footprint (PCF) analysis for product igphgevygo for company hsfskklikt, following GHG Protocol standards and including 2026 LSR Update and Scope 3 compliance.</dc:description>
  <dc:language>en</dc:language>
  <cp:keywords/>
  <dcterms:created xsi:type="dcterms:W3CDTF">2026-07-15T18:08:29Z</dcterms:created>
  <dcterms:modified xsi:type="dcterms:W3CDTF">2026-07-15T18:08:29Z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