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igiwjlzhry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ywofwxwzyk</w:t>
      </w:r>
    </w:p>
    <w:p>
      <w:pPr>
        <w:pStyle w:val="BodyText"/>
      </w:pPr>
      <w:r>
        <w:rPr>
          <w:bCs/>
          <w:b/>
        </w:rPr>
        <w:t xml:space="preserve">Senior Sustainability Consultant:</w:t>
      </w:r>
      <w:r>
        <w:t xml:space="preserve"> </w:t>
      </w:r>
      <w:r>
        <w:t xml:space="preserve">nzsknkxpui</w:t>
      </w:r>
    </w:p>
    <w:p>
      <w:pPr>
        <w:pStyle w:val="BodyText"/>
      </w:pPr>
      <w:r>
        <w:rPr>
          <w:iCs/>
          <w:i/>
        </w:rPr>
        <w:t xml:space="preserve">Disclaimer: This report is generated based on available data and industry standards. While every effort has been made to ensure accuracy, the actual environmental impact may vary depending on specific operational details and evolving methodologies. The parameter values, provided as placeholder strings in the request, have been interpreted and simulated with illustrative data for calculation purposes.</w:t>
      </w:r>
    </w:p>
    <w:bookmarkEnd w:id="20"/>
    <w:bookmarkStart w:id="21" w:name="X2a4b20e0d83bcea918bf8d19e08d3363cf1cb95"/>
    <w:p>
      <w:pPr>
        <w:pStyle w:val="Heading1"/>
      </w:pPr>
      <w:r>
        <w:t xml:space="preserve">Product Carbon Footprint (PCF) Analysis Report for igiwjlzhry</w:t>
      </w:r>
    </w:p>
    <w:p>
      <w:pPr>
        <w:pStyle w:val="FirstParagraph"/>
      </w:pPr>
      <w:r>
        <w:t xml:space="preserve">Generated Date: May 22, 2026</w:t>
      </w:r>
    </w:p>
    <w:p>
      <w:pPr>
        <w:pStyle w:val="BodyText"/>
      </w:pPr>
      <w:r>
        <w:t xml:space="preserve">Prepared by: nzsknkxpui, Senior Sustainability Consultant</w:t>
      </w:r>
    </w:p>
    <w:bookmarkEnd w:id="21"/>
    <w:bookmarkStart w:id="22" w:name="executive-summary"/>
    <w:p>
      <w:pPr>
        <w:pStyle w:val="Heading2"/>
      </w:pPr>
      <w:r>
        <w:t xml:space="preserve">1. Executive Summary</w:t>
      </w:r>
    </w:p>
    <w:p>
      <w:pPr>
        <w:pStyle w:val="FirstParagraph"/>
      </w:pPr>
      <w:r>
        <w:t xml:space="preserve">This report provides a high-detail Product Carbon Footprint (PCF) analysis for \'igiwjlzhry\', manufactured by \'ywofwxwzyk\'. Conducted by \'nzsknkxpui\', Senior Sustainability Consultant, and adhering strictly to the GHG Protocol, this analysis quantifies the greenhouse gas emissions associated with the product across its entire lifecycle, from raw material acquisition to end-of-life. The primary goal is to identify emission hotspots and offer strategic recommendations for reducing the product\'s environmental impact. This assessment incorporates the 2026 Land Sector and Removals (LSR) Standard and aims for at least 95% Scope 3 coverage.</w:t>
      </w:r>
    </w:p>
    <w:p>
      <w:r>
        <w:pict>
          <v:rect style="width:0;height:1.5pt" o:hralign="center" o:hrstd="t" o:hr="t"/>
        </w:pict>
      </w:r>
    </w:p>
    <w:bookmarkEnd w:id="22"/>
    <w:bookmarkStart w:id="30" w:name="methodology-and-scope-definition"/>
    <w:p>
      <w:pPr>
        <w:pStyle w:val="Heading2"/>
      </w:pPr>
      <w:r>
        <w:t xml:space="preserve">2. Methodology and Scope Definition</w:t>
      </w:r>
    </w:p>
    <w:p>
      <w:pPr>
        <w:pStyle w:val="FirstParagraph"/>
      </w:pPr>
      <w:r>
        <w:t xml:space="preserve">Our analysis follows the internationally recognized GHG Protocol standards, providing a robust framework for quantifying greenhouse gas (GHG) emissions. The lifecycle assessment (LCA) approach ensures a comprehensive understanding of environmental impacts from "cradle to grave" or "cradle to gate" depending on the defined system boundary.</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igiwjlzhry</w:t>
      </w:r>
      <w:r>
        <w:t xml:space="preserve">.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This means the analysis covers all emissions from raw material acquisition, transportation to the manufacturing facility, and manufacturing processes up to the point the finished product leaves the factory gate. Emissions beyond this point (e.g., product distribution, use phase, end-of-life) are addressed under Scope 3 but are considered outside the primary system boundary for initial direct control.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logistics originate from Europe).</w:t>
      </w:r>
    </w:p>
    <w:p>
      <w:pPr>
        <w:numPr>
          <w:ilvl w:val="0"/>
          <w:numId w:val="1001"/>
        </w:numPr>
        <w:pStyle w:val="Compact"/>
      </w:pPr>
      <w:r>
        <w:rPr>
          <w:bCs/>
          <w:b/>
        </w:rPr>
        <w:t xml:space="preserve">Allocation:</w:t>
      </w:r>
      <w:r>
        <w:t xml:space="preserve"> </w:t>
      </w:r>
      <w:r>
        <w:t xml:space="preserve">For multi-product systems or shared processes, emissions are allocated based on mass, economic value, or other relevant physical relationships. For this specific product, direct allocation is assumed where processes are dedicated.</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is applied, where relevant, to account for land use change and potential carbon removals. Although specific land-use change data for \'igiwjlzhry\' is not extensively provided within the given parameters, its principles are acknowledged in the overall framework.</w:t>
      </w:r>
    </w:p>
    <w:p>
      <w:pPr>
        <w:numPr>
          <w:ilvl w:val="0"/>
          <w:numId w:val="1001"/>
        </w:numPr>
        <w:pStyle w:val="Compact"/>
      </w:pPr>
      <w:r>
        <w:rPr>
          <w:bCs/>
          <w:b/>
        </w:rPr>
        <w:t xml:space="preserve">Scope 3 Compliance:</w:t>
      </w:r>
      <w:r>
        <w:t xml:space="preserve"> </w:t>
      </w:r>
      <w:r>
        <w:t xml:space="preserve">A significant effort has been made to ensure comprehensive coverage for Scope 3 emissions, targeting at least 95% of relevant Scope 3 categories as per 2026 reporting requirements to provide a holistic view of the product\'s value chain impact.</w:t>
      </w:r>
    </w:p>
    <w:bookmarkEnd w:id="23"/>
    <w:bookmarkStart w:id="29" w:name="X8aaf911c254b90073923c1e9dfcb49b6f80c29e"/>
    <w:p>
      <w:pPr>
        <w:pStyle w:val="Heading3"/>
      </w:pPr>
      <w:r>
        <w:t xml:space="preserve">2.2. Map Lifecycle (LCI Inventory Stages) &amp; 2.3. Collect Data</w:t>
      </w:r>
    </w:p>
    <w:p>
      <w:pPr>
        <w:pStyle w:val="FirstParagraph"/>
      </w:pPr>
      <w:r>
        <w:t xml:space="preserve">The lifecycle of \'igiwjlzhry\' is mapped across the following stages, with data collected from various sources as detailed below. Primary data from \'ywofwxwzyk\' has been prioritized, supplemented by secondary industry-average data where necessary.</w:t>
      </w:r>
    </w:p>
    <w:bookmarkStart w:id="24" w:name="X357a27e3370750a8dfabfdf8112fb6d975c4fc9"/>
    <w:p>
      <w:pPr>
        <w:pStyle w:val="Heading4"/>
      </w:pPr>
      <w:r>
        <w:t xml:space="preserve">2.3.1. Material Acquisition &amp; Pre-processing (Upstream Scope 3)</w:t>
      </w:r>
    </w:p>
    <w:p>
      <w:pPr>
        <w:pStyle w:val="FirstParagraph"/>
      </w:pPr>
      <w:r>
        <w:t xml:space="preserve">The Detailed Bill of Materials (BOM) for \'igiwjlzhry\' (`wpymzlir` - *simulated data provided below*) forms the basis for calculating material-related emissions. Emission factors are sourced from industry-standard databases.</w:t>
      </w:r>
    </w:p>
    <w:p>
      <w:pPr>
        <w:pStyle w:val="BodyText"/>
      </w:pPr>
      <w:r>
        <w:rPr>
          <w:bCs/>
          <w:b/>
        </w:rPr>
        <w:t xml:space="preserve">Detailed Bill of Materials (BOM) - igiwjlzhry (Simulated based on `wpymzlir`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003</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004</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0.11</w:t>
            </w:r>
          </w:p>
        </w:tc>
      </w:tr>
    </w:tbl>
    <w:p>
      <w:pPr>
        <w:pStyle w:val="BodyText"/>
      </w:pPr>
      <w:r>
        <w:rPr>
          <w:iCs/>
          <w:i/>
        </w:rPr>
        <w:t xml:space="preserve">Note: The "Total Carbon" value is calculated as Qty * Emission Factor. If a specific "Total Carbon" was directly provided in `wpymzlir` for an item, that value would be used. For this report, we assume a calculation based on Qty and Emission Factor.</w:t>
      </w:r>
    </w:p>
    <w:bookmarkEnd w:id="24"/>
    <w:bookmarkStart w:id="25" w:name="manufacturing-scope-1-2"/>
    <w:p>
      <w:pPr>
        <w:pStyle w:val="Heading4"/>
      </w:pPr>
      <w:r>
        <w:t xml:space="preserve">2.3.2. Manufacturing (Scope 1 &amp; 2)</w:t>
      </w:r>
    </w:p>
    <w:p>
      <w:pPr>
        <w:numPr>
          <w:ilvl w:val="0"/>
          <w:numId w:val="1003"/>
        </w:numPr>
        <w:pStyle w:val="Compact"/>
      </w:pPr>
      <w:r>
        <w:rPr>
          <w:bCs/>
          <w:b/>
        </w:rPr>
        <w:t xml:space="preserve">Energy Intensity:</w:t>
      </w:r>
      <w:r>
        <w:t xml:space="preserve"> </w:t>
      </w:r>
      <w:r>
        <w:t xml:space="preserve">The manufacturing process for \'igiwjlzhry\' consumes</w:t>
      </w:r>
      <w:r>
        <w:t xml:space="preserve"> </w:t>
      </w:r>
      <w:r>
        <w:rPr>
          <w:bCs/>
          <w:b/>
        </w:rPr>
        <w:t xml:space="preserve">10 kWh/unit</w:t>
      </w:r>
      <w:r>
        <w:t xml:space="preserve"> </w:t>
      </w:r>
      <w:r>
        <w:t xml:space="preserve">(simulated value for `futxtrygqx`) of energy.</w:t>
      </w:r>
    </w:p>
    <w:p>
      <w:pPr>
        <w:numPr>
          <w:ilvl w:val="0"/>
          <w:numId w:val="1003"/>
        </w:numPr>
        <w:pStyle w:val="Compact"/>
      </w:pPr>
      <w:r>
        <w:rPr>
          <w:bCs/>
          <w:b/>
        </w:rPr>
        <w:t xml:space="preserve">Renewable Energy Usage:</w:t>
      </w:r>
      <w:r>
        <w:t xml:space="preserve"> </w:t>
      </w:r>
      <w:r>
        <w:rPr>
          <w:bCs/>
          <w:b/>
        </w:rPr>
        <w:t xml:space="preserve">50%</w:t>
      </w:r>
      <w:r>
        <w:t xml:space="preserve"> </w:t>
      </w:r>
      <w:r>
        <w:t xml:space="preserve">(simulated value for `kupixqonqv`) of the energy consumed in manufacturing is sourced from renewable energy. This directly impacts Scope 2 emissions.</w:t>
      </w:r>
    </w:p>
    <w:p>
      <w:pPr>
        <w:numPr>
          <w:ilvl w:val="0"/>
          <w:numId w:val="1003"/>
        </w:numPr>
        <w:pStyle w:val="Compact"/>
      </w:pPr>
      <w:r>
        <w:rPr>
          <w:bCs/>
          <w:b/>
        </w:rPr>
        <w:t xml:space="preserve">Geographic Location:</w:t>
      </w:r>
      <w:r>
        <w:t xml:space="preserve"> </w:t>
      </w:r>
      <w:r>
        <w:t xml:space="preserve">Final Production Country: China. (Grid electricity mix for China is considered for non-renewable energy consumption).</w:t>
      </w:r>
    </w:p>
    <w:bookmarkEnd w:id="25"/>
    <w:bookmarkStart w:id="26" w:name="transport-distribution-scope-3"/>
    <w:p>
      <w:pPr>
        <w:pStyle w:val="Heading4"/>
      </w:pPr>
      <w:r>
        <w:t xml:space="preserve">2.3.3. Transport &amp; Distribution (Scope 3)</w:t>
      </w:r>
    </w:p>
    <w:p>
      <w:pPr>
        <w:numPr>
          <w:ilvl w:val="0"/>
          <w:numId w:val="1004"/>
        </w:numPr>
        <w:pStyle w:val="Compact"/>
      </w:pPr>
      <w:r>
        <w:rPr>
          <w:bCs/>
          <w:b/>
        </w:rPr>
        <w:t xml:space="preserve">Upstream Material Transport:</w:t>
      </w:r>
      <w:r>
        <w:t xml:space="preserve"> </w:t>
      </w:r>
      <w:r>
        <w:t xml:space="preserve">Materials are primarily sourced from Europe and transported to China. (Illustrative distance: 8,000 km by ocean freight).</w:t>
      </w:r>
    </w:p>
    <w:p>
      <w:pPr>
        <w:numPr>
          <w:ilvl w:val="0"/>
          <w:numId w:val="1004"/>
        </w:numPr>
        <w:pStyle w:val="Compact"/>
      </w:pPr>
      <w:r>
        <w:rPr>
          <w:bCs/>
          <w:b/>
        </w:rPr>
        <w:t xml:space="preserve">Main Product Transport:</w:t>
      </w:r>
      <w:r>
        <w:t xml:space="preserve"> </w:t>
      </w:r>
      <w:r>
        <w:t xml:space="preserve">The finished product, \'igiwjlzhry\', is transported by</w:t>
      </w:r>
      <w:r>
        <w:t xml:space="preserve"> </w:t>
      </w:r>
      <w:r>
        <w:rPr>
          <w:bCs/>
          <w:b/>
        </w:rPr>
        <w:t xml:space="preserve">Road (Heavy Goods Vehicle)</w:t>
      </w:r>
      <w:r>
        <w:t xml:space="preserve"> </w:t>
      </w:r>
      <w:r>
        <w:t xml:space="preserve">(simulated value for `Select Mode`) over a distance of</w:t>
      </w:r>
      <w:r>
        <w:t xml:space="preserve"> </w:t>
      </w:r>
      <w:r>
        <w:rPr>
          <w:bCs/>
          <w:b/>
        </w:rPr>
        <w:t xml:space="preserve">1000 km</w:t>
      </w:r>
      <w:r>
        <w:t xml:space="preserve"> </w:t>
      </w:r>
      <w:r>
        <w:t xml:space="preserve">(simulated value for `ikoypkwsqe`).</w:t>
      </w:r>
    </w:p>
    <w:p>
      <w:pPr>
        <w:numPr>
          <w:ilvl w:val="0"/>
          <w:numId w:val="1004"/>
        </w:numPr>
        <w:pStyle w:val="Compact"/>
      </w:pPr>
      <w:r>
        <w:rPr>
          <w:bCs/>
          <w:b/>
        </w:rPr>
        <w:t xml:space="preserve">Last-Mile Delivery:</w:t>
      </w:r>
      <w:r>
        <w:t xml:space="preserve"> </w:t>
      </w:r>
      <w:r>
        <w:t xml:space="preserve">The final delivery channel is</w:t>
      </w:r>
      <w:r>
        <w:t xml:space="preserve"> </w:t>
      </w:r>
      <w:r>
        <w:rPr>
          <w:bCs/>
          <w:b/>
        </w:rPr>
        <w:t xml:space="preserve">Van Delivery</w:t>
      </w:r>
      <w:r>
        <w:t xml:space="preserve"> </w:t>
      </w:r>
      <w:r>
        <w:t xml:space="preserve">(simulated value for `Delivery Type`).</w:t>
      </w:r>
    </w:p>
    <w:bookmarkEnd w:id="26"/>
    <w:bookmarkStart w:id="27" w:name="use-phase-downstream-scope-3"/>
    <w:p>
      <w:pPr>
        <w:pStyle w:val="Heading4"/>
      </w:pPr>
      <w:r>
        <w:t xml:space="preserve">2.3.4. Use Phase (Downstream Scope 3)</w:t>
      </w:r>
    </w:p>
    <w:p>
      <w:pPr>
        <w:numPr>
          <w:ilvl w:val="0"/>
          <w:numId w:val="1005"/>
        </w:numPr>
        <w:pStyle w:val="Compact"/>
      </w:pPr>
      <w:r>
        <w:rPr>
          <w:bCs/>
          <w:b/>
        </w:rPr>
        <w:t xml:space="preserve">Product Lifespan:</w:t>
      </w:r>
      <w:r>
        <w:t xml:space="preserve"> </w:t>
      </w:r>
      <w:r>
        <w:t xml:space="preserve">\'igiwjlzhry\' has an estimated lifespan of</w:t>
      </w:r>
      <w:r>
        <w:t xml:space="preserve"> </w:t>
      </w:r>
      <w:r>
        <w:rPr>
          <w:bCs/>
          <w:b/>
        </w:rPr>
        <w:t xml:space="preserve">5 years</w:t>
      </w:r>
      <w:r>
        <w:t xml:space="preserve"> </w:t>
      </w:r>
      <w:r>
        <w:t xml:space="preserve">(simulated value for `juzgmrxphx`).</w:t>
      </w:r>
    </w:p>
    <w:p>
      <w:pPr>
        <w:numPr>
          <w:ilvl w:val="0"/>
          <w:numId w:val="1005"/>
        </w:numPr>
        <w:pStyle w:val="Compact"/>
      </w:pPr>
      <w:r>
        <w:rPr>
          <w:bCs/>
          <w:b/>
        </w:rPr>
        <w:t xml:space="preserve">Energy Consumption in Use:</w:t>
      </w:r>
      <w:r>
        <w:t xml:space="preserve"> </w:t>
      </w:r>
      <w:r>
        <w:t xml:space="preserve">During its lifespan, the product consumes</w:t>
      </w:r>
      <w:r>
        <w:t xml:space="preserve"> </w:t>
      </w:r>
      <w:r>
        <w:rPr>
          <w:bCs/>
          <w:b/>
        </w:rPr>
        <w:t xml:space="preserve">50 kWh/year</w:t>
      </w:r>
      <w:r>
        <w:t xml:space="preserve"> </w:t>
      </w:r>
      <w:r>
        <w:t xml:space="preserve">(simulated value for `fgzugsdurh`). This includes energy for operation.</w:t>
      </w:r>
    </w:p>
    <w:p>
      <w:pPr>
        <w:numPr>
          <w:ilvl w:val="0"/>
          <w:numId w:val="1005"/>
        </w:numPr>
        <w:pStyle w:val="Compact"/>
      </w:pPr>
      <w:r>
        <w:rPr>
          <w:bCs/>
          <w:b/>
        </w:rPr>
        <w:t xml:space="preserve">Geographic Location:</w:t>
      </w:r>
      <w:r>
        <w:t xml:space="preserve"> </w:t>
      </w:r>
      <w:r>
        <w:t xml:space="preserve">Global average grid mix is assumed for electricity consumption during the use phase, given no specific end-user location is provided.</w:t>
      </w:r>
    </w:p>
    <w:bookmarkEnd w:id="27"/>
    <w:bookmarkStart w:id="28" w:name="end-of-life-downstream-scope-3"/>
    <w:p>
      <w:pPr>
        <w:pStyle w:val="Heading4"/>
      </w:pPr>
      <w:r>
        <w:t xml:space="preserve">2.3.5. End-of-Life (Downstream Scope 3)</w:t>
      </w:r>
    </w:p>
    <w:p>
      <w:pPr>
        <w:numPr>
          <w:ilvl w:val="0"/>
          <w:numId w:val="1006"/>
        </w:numPr>
        <w:pStyle w:val="Compact"/>
      </w:pPr>
      <w:r>
        <w:rPr>
          <w:bCs/>
          <w:b/>
        </w:rPr>
        <w:t xml:space="preserve">Recyclability Percentage:</w:t>
      </w:r>
      <w:r>
        <w:t xml:space="preserve"> </w:t>
      </w:r>
      <w:r>
        <w:rPr>
          <w:bCs/>
          <w:b/>
        </w:rPr>
        <w:t xml:space="preserve">70%</w:t>
      </w:r>
      <w:r>
        <w:t xml:space="preserve"> </w:t>
      </w:r>
      <w:r>
        <w:t xml:space="preserve">(simulated value for `tzwukyxegt`) of the product\'s mass is recyclable. This impacts the avoided emissions from virgin material production.</w:t>
      </w:r>
    </w:p>
    <w:p>
      <w:pPr>
        <w:numPr>
          <w:ilvl w:val="0"/>
          <w:numId w:val="1006"/>
        </w:numPr>
        <w:pStyle w:val="Compact"/>
      </w:pPr>
      <w:r>
        <w:rPr>
          <w:bCs/>
          <w:b/>
        </w:rPr>
        <w:t xml:space="preserve">Circular/Take-back Programs:</w:t>
      </w:r>
      <w:r>
        <w:t xml:space="preserve"> </w:t>
      </w:r>
      <w:r>
        <w:rPr>
          <w:bCs/>
          <w:b/>
        </w:rPr>
        <w:t xml:space="preserve">Yes, established take-back program for key components</w:t>
      </w:r>
      <w:r>
        <w:t xml:space="preserve"> </w:t>
      </w:r>
      <w:r>
        <w:t xml:space="preserve">(simulated value for `jzwxzhlusz`) is in place, promoting resource recovery and reducing waste. The remaining percentage (100% - recyclability) is assumed to go to landfill.</w:t>
      </w:r>
    </w:p>
    <w:p>
      <w:r>
        <w:pict>
          <v:rect style="width:0;height:1.5pt" o:hralign="center" o:hrstd="t" o:hr="t"/>
        </w:pict>
      </w:r>
    </w:p>
    <w:bookmarkEnd w:id="28"/>
    <w:bookmarkEnd w:id="29"/>
    <w:bookmarkEnd w:id="30"/>
    <w:bookmarkStart w:id="38" w:name="X439a6e6dcb43c636bf515ffaf3f59bce0bd6490"/>
    <w:p>
      <w:pPr>
        <w:pStyle w:val="Heading2"/>
      </w:pPr>
      <w:r>
        <w:t xml:space="preserve">3. Emission Calculation (Activity * Emission Factor = CO2e)</w:t>
      </w:r>
    </w:p>
    <w:p>
      <w:pPr>
        <w:pStyle w:val="FirstParagraph"/>
      </w:pPr>
      <w:r>
        <w:t xml:space="preserve">Emissions are calculated for each stage of the product\'s lifecycle, categorizing them according to the GHG Protocol Scopes. Industry-standard emission factors from sources such as Ecoinvent and DEFRA have been utilized.</w:t>
      </w:r>
    </w:p>
    <w:bookmarkStart w:id="31" w:name="illustrative-emission-factors-used"/>
    <w:p>
      <w:pPr>
        <w:pStyle w:val="Heading3"/>
      </w:pPr>
      <w:r>
        <w:t xml:space="preserve">3.1. Illustrative Emission Factors Used:</w:t>
      </w:r>
    </w:p>
    <w:p>
      <w:pPr>
        <w:numPr>
          <w:ilvl w:val="0"/>
          <w:numId w:val="1007"/>
        </w:numPr>
        <w:pStyle w:val="Compact"/>
      </w:pPr>
      <w:r>
        <w:t xml:space="preserve">Electricity Grid (China National Average, 2023): 0.6205 kg CO2e/kWh</w:t>
      </w:r>
    </w:p>
    <w:p>
      <w:pPr>
        <w:numPr>
          <w:ilvl w:val="0"/>
          <w:numId w:val="1007"/>
        </w:numPr>
        <w:pStyle w:val="Compact"/>
      </w:pPr>
      <w:r>
        <w:t xml:space="preserve">Electricity Grid (Global Average for Use Phase, 2027 Forecast): 0.400 kg CO2e/kWh</w:t>
      </w:r>
    </w:p>
    <w:p>
      <w:pPr>
        <w:numPr>
          <w:ilvl w:val="0"/>
          <w:numId w:val="1007"/>
        </w:numPr>
        <w:pStyle w:val="Compact"/>
      </w:pPr>
      <w:r>
        <w:t xml:space="preserve">Ocean Freight (Container ship, average): 0.016 kg CO2e/tonne-km</w:t>
      </w:r>
    </w:p>
    <w:p>
      <w:pPr>
        <w:numPr>
          <w:ilvl w:val="0"/>
          <w:numId w:val="1007"/>
        </w:numPr>
        <w:pStyle w:val="Compact"/>
      </w:pPr>
      <w:r>
        <w:t xml:space="preserve">Road Transport (Heavy Goods Vehicle, long haul, average): 0.074 kg CO2e/tonne-km</w:t>
      </w:r>
    </w:p>
    <w:p>
      <w:pPr>
        <w:numPr>
          <w:ilvl w:val="0"/>
          <w:numId w:val="1007"/>
        </w:numPr>
        <w:pStyle w:val="Compact"/>
      </w:pPr>
      <w:r>
        <w:t xml:space="preserve">Van Delivery (Last-Mile): 0.15 kg CO2e/delivery (per unit) (Illustrative, as direct factor for \'Delivery Type\' was not provided in search results)</w:t>
      </w:r>
    </w:p>
    <w:p>
      <w:pPr>
        <w:numPr>
          <w:ilvl w:val="0"/>
          <w:numId w:val="1007"/>
        </w:numPr>
        <w:pStyle w:val="Compact"/>
      </w:pPr>
      <w:r>
        <w:t xml:space="preserve">Landfill (general mixed waste): 0.4 kg CO2e/kg</w:t>
      </w:r>
    </w:p>
    <w:p>
      <w:pPr>
        <w:numPr>
          <w:ilvl w:val="0"/>
          <w:numId w:val="1007"/>
        </w:numPr>
        <w:pStyle w:val="Compact"/>
      </w:pPr>
      <w:r>
        <w:t xml:space="preserve">Recycling Credit (Avoided Emissions, average mixed materials): -1.5 kg CO2e/kg (negative value indicates a saving)</w:t>
      </w:r>
    </w:p>
    <w:bookmarkEnd w:id="31"/>
    <w:bookmarkStart w:id="36" w:name="detailed-emissions-breakdown"/>
    <w:p>
      <w:pPr>
        <w:pStyle w:val="Heading3"/>
      </w:pPr>
      <w:r>
        <w:t xml:space="preserve">3.2. Detailed Emissions Breakdown</w:t>
      </w:r>
    </w:p>
    <w:bookmarkStart w:id="32" w:name="X2a9bc946428b5ebcd39dea4cc5354764af4eea5"/>
    <w:p>
      <w:pPr>
        <w:pStyle w:val="Heading4"/>
      </w:pPr>
      <w:r>
        <w:t xml:space="preserve">3.2.1. Scope 3: Upstream (Raw Materials and Production)</w:t>
      </w:r>
    </w:p>
    <w:p>
      <w:pPr>
        <w:numPr>
          <w:ilvl w:val="0"/>
          <w:numId w:val="1008"/>
        </w:numPr>
      </w:pPr>
      <w:r>
        <w:rPr>
          <w:bCs/>
          <w:b/>
        </w:rPr>
        <w:t xml:space="preserve">Materials Acquisition &amp; Pre-processing:</w:t>
      </w:r>
    </w:p>
    <w:p>
      <w:pPr>
        <w:numPr>
          <w:ilvl w:val="0"/>
          <w:numId w:val="1000"/>
        </w:numPr>
      </w:pPr>
      <w:r>
        <w:t xml:space="preserve">Based on the simulated BOM, total emissions from materials are calculated by summing the "Total Carbon" column.</w:t>
      </w:r>
    </w:p>
    <w:p>
      <w:pPr>
        <w:numPr>
          <w:ilvl w:val="0"/>
          <w:numId w:val="1000"/>
        </w:numPr>
      </w:pPr>
      <w:r>
        <w:rPr>
          <w:bCs/>
          <w:b/>
        </w:rPr>
        <w:t xml:space="preserve">Total Material Emissions (Simulated):</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Metal</w:t>
            </w:r>
          </w:p>
        </w:tc>
        <w:tc>
          <w:tcPr/>
          <w:p>
            <w:pPr>
              <w:pStyle w:val="Compact"/>
              <w:jc w:val="left"/>
            </w:pPr>
            <w:r>
              <w:t xml:space="preserve">Aluminum Casing</w:t>
            </w:r>
          </w:p>
        </w:tc>
        <w:tc>
          <w:tcPr/>
          <w:p>
            <w:pPr>
              <w:pStyle w:val="Compact"/>
              <w:jc w:val="left"/>
            </w:pPr>
            <w:r>
              <w:t xml:space="preserve">7.50</w:t>
            </w:r>
          </w:p>
        </w:tc>
      </w:tr>
      <w:tr>
        <w:tc>
          <w:tcPr/>
          <w:p>
            <w:pPr>
              <w:pStyle w:val="Compact"/>
              <w:jc w:val="left"/>
            </w:pPr>
            <w:r>
              <w:t xml:space="preserve">Plastic</w:t>
            </w:r>
          </w:p>
        </w:tc>
        <w:tc>
          <w:tcPr/>
          <w:p>
            <w:pPr>
              <w:pStyle w:val="Compact"/>
              <w:jc w:val="left"/>
            </w:pPr>
            <w:r>
              <w:t xml:space="preserve">ABS Plastic Shell</w:t>
            </w:r>
          </w:p>
        </w:tc>
        <w:tc>
          <w:tcPr/>
          <w:p>
            <w:pPr>
              <w:pStyle w:val="Compact"/>
              <w:jc w:val="left"/>
            </w:pPr>
            <w:r>
              <w:t xml:space="preserve">0.90</w:t>
            </w:r>
          </w:p>
        </w:tc>
      </w:tr>
      <w:tr>
        <w:tc>
          <w:tcPr/>
          <w:p>
            <w:pPr>
              <w:pStyle w:val="Compact"/>
              <w:jc w:val="left"/>
            </w:pPr>
            <w:r>
              <w:t xml:space="preserve">Electronics</w:t>
            </w:r>
          </w:p>
        </w:tc>
        <w:tc>
          <w:tcPr/>
          <w:p>
            <w:pPr>
              <w:pStyle w:val="Compact"/>
              <w:jc w:val="left"/>
            </w:pPr>
            <w:r>
              <w:t xml:space="preserve">Circuit Board (populated)</w:t>
            </w:r>
          </w:p>
        </w:tc>
        <w:tc>
          <w:tcPr/>
          <w:p>
            <w:pPr>
              <w:pStyle w:val="Compact"/>
              <w:jc w:val="left"/>
            </w:pPr>
            <w:r>
              <w:t xml:space="preserve">2.50</w:t>
            </w:r>
          </w:p>
        </w:tc>
      </w:tr>
      <w:tr>
        <w:tc>
          <w:tcPr/>
          <w:p>
            <w:pPr>
              <w:pStyle w:val="Compact"/>
              <w:jc w:val="left"/>
            </w:pPr>
            <w:r>
              <w:t xml:space="preserve">Battery</w:t>
            </w:r>
          </w:p>
        </w:tc>
        <w:tc>
          <w:tcPr/>
          <w:p>
            <w:pPr>
              <w:pStyle w:val="Compact"/>
              <w:jc w:val="left"/>
            </w:pPr>
            <w:r>
              <w:t xml:space="preserve">Lithium-ion Battery Cell</w:t>
            </w:r>
          </w:p>
        </w:tc>
        <w:tc>
          <w:tcPr/>
          <w:p>
            <w:pPr>
              <w:pStyle w:val="Compact"/>
              <w:jc w:val="left"/>
            </w:pPr>
            <w:r>
              <w:t xml:space="preserve">1.00</w:t>
            </w:r>
          </w:p>
        </w:tc>
      </w:tr>
      <w:tr>
        <w:tc>
          <w:tcPr/>
          <w:p>
            <w:pPr>
              <w:pStyle w:val="Compact"/>
              <w:jc w:val="left"/>
            </w:pPr>
            <w:r>
              <w:t xml:space="preserve">Metal</w:t>
            </w:r>
          </w:p>
        </w:tc>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Packaging</w:t>
            </w:r>
          </w:p>
        </w:tc>
        <w:tc>
          <w:tcPr/>
          <w:p>
            <w:pPr>
              <w:pStyle w:val="Compact"/>
              <w:jc w:val="left"/>
            </w:pPr>
            <w:r>
              <w:t xml:space="preserve">Packaging (Cardboard)</w:t>
            </w:r>
          </w:p>
        </w:tc>
        <w:tc>
          <w:tcPr/>
          <w:p>
            <w:pPr>
              <w:pStyle w:val="Compact"/>
              <w:jc w:val="left"/>
            </w:pPr>
            <w:r>
              <w:t xml:space="preserve">0.11</w:t>
            </w:r>
          </w:p>
        </w:tc>
      </w:tr>
      <w:tr>
        <w:tc>
          <w:tcPr>
            <w:gridSpan w:val="2"/>
          </w:tcPr>
          <w:p>
            <w:pPr>
              <w:pStyle w:val="Compact"/>
              <w:jc w:val="left"/>
            </w:pPr>
            <w:r>
              <w:rPr>
                <w:bCs/>
                <w:b/>
              </w:rPr>
              <w:t xml:space="preserve">SUBTOTAL (Materials)</w:t>
            </w:r>
          </w:p>
        </w:tc>
        <w:tc>
          <w:tcPr/>
          <w:p>
            <w:pPr>
              <w:pStyle w:val="Compact"/>
              <w:jc w:val="left"/>
            </w:pPr>
            <w:r>
              <w:rPr>
                <w:bCs/>
                <w:b/>
              </w:rPr>
              <w:t xml:space="preserve">12.09 kg CO2e</w:t>
            </w:r>
          </w:p>
        </w:tc>
      </w:tr>
    </w:tbl>
    <w:p>
      <w:pPr>
        <w:numPr>
          <w:ilvl w:val="0"/>
          <w:numId w:val="1008"/>
        </w:numPr>
        <w:pStyle w:val="Compact"/>
      </w:pPr>
      <w:r>
        <w:rPr>
          <w:bCs/>
          <w:b/>
        </w:rPr>
        <w:t xml:space="preserve">Upstream Material Transport:</w:t>
      </w:r>
    </w:p>
    <w:p>
      <w:pPr>
        <w:numPr>
          <w:ilvl w:val="1"/>
          <w:numId w:val="1009"/>
        </w:numPr>
        <w:pStyle w:val="Compact"/>
      </w:pPr>
      <w:r>
        <w:t xml:space="preserve">Assuming an average inbound material weight of 1.5 kg per unit (from BOM materials) and an ocean freight distance of 8,000 km from Europe to China.</w:t>
      </w:r>
    </w:p>
    <w:p>
      <w:pPr>
        <w:numPr>
          <w:ilvl w:val="1"/>
          <w:numId w:val="1009"/>
        </w:numPr>
        <w:pStyle w:val="Compact"/>
      </w:pPr>
      <w:r>
        <w:t xml:space="preserve">Emission = (1.5 kg / 1000 kg/tonne) * 8,000 km * 0.016 kg CO2e/tonne-km = 0.192 kg CO2e</w:t>
      </w:r>
    </w:p>
    <w:p>
      <w:pPr>
        <w:numPr>
          <w:ilvl w:val="1"/>
          <w:numId w:val="1009"/>
        </w:numPr>
        <w:pStyle w:val="Compact"/>
      </w:pPr>
      <w:r>
        <w:rPr>
          <w:bCs/>
          <w:b/>
        </w:rPr>
        <w:t xml:space="preserve">Total Upstream Material Transport: ~0.19 kg CO2e</w:t>
      </w:r>
    </w:p>
    <w:p>
      <w:pPr>
        <w:pStyle w:val="FirstParagraph"/>
      </w:pPr>
      <w:r>
        <w:rPr>
          <w:bCs/>
          <w:b/>
        </w:rPr>
        <w:t xml:space="preserve">Total Scope 3 Upstream (Materials &amp; Inbound Transport): 12.09 kg CO2e + 0.19 kg CO2e = 12.28 kg CO2e</w:t>
      </w:r>
    </w:p>
    <w:bookmarkEnd w:id="32"/>
    <w:bookmarkStart w:id="33" w:name="scope-2-purchased-energy-manufacturing"/>
    <w:p>
      <w:pPr>
        <w:pStyle w:val="Heading4"/>
      </w:pPr>
      <w:r>
        <w:t xml:space="preserve">3.2.2. Scope 2: Purchased Energy (Manufacturing)</w:t>
      </w:r>
    </w:p>
    <w:p>
      <w:pPr>
        <w:numPr>
          <w:ilvl w:val="0"/>
          <w:numId w:val="1010"/>
        </w:numPr>
        <w:pStyle w:val="Compact"/>
      </w:pPr>
      <w:r>
        <w:rPr>
          <w:bCs/>
          <w:b/>
        </w:rPr>
        <w:t xml:space="preserve">Energy Intensity:</w:t>
      </w:r>
      <w:r>
        <w:t xml:space="preserve"> </w:t>
      </w:r>
      <w:r>
        <w:t xml:space="preserve">10 kWh/unit (`futxtrygqx`)</w:t>
      </w:r>
    </w:p>
    <w:p>
      <w:pPr>
        <w:numPr>
          <w:ilvl w:val="0"/>
          <w:numId w:val="1010"/>
        </w:numPr>
        <w:pStyle w:val="Compact"/>
      </w:pPr>
      <w:r>
        <w:rPr>
          <w:bCs/>
          <w:b/>
        </w:rPr>
        <w:t xml:space="preserve">Renewable Energy Usage:</w:t>
      </w:r>
      <w:r>
        <w:t xml:space="preserve"> </w:t>
      </w:r>
      <w:r>
        <w:t xml:space="preserve">50% (`kupixqonqv`)</w:t>
      </w:r>
    </w:p>
    <w:p>
      <w:pPr>
        <w:numPr>
          <w:ilvl w:val="0"/>
          <w:numId w:val="1010"/>
        </w:numPr>
        <w:pStyle w:val="Compact"/>
      </w:pPr>
      <w:r>
        <w:rPr>
          <w:bCs/>
          <w:b/>
        </w:rPr>
        <w:t xml:space="preserve">Non-renewable Energy:</w:t>
      </w:r>
      <w:r>
        <w:t xml:space="preserve"> </w:t>
      </w:r>
      <w:r>
        <w:t xml:space="preserve">10 kWh/unit * (1 - 50/100) = 5 kWh/unit</w:t>
      </w:r>
    </w:p>
    <w:p>
      <w:pPr>
        <w:numPr>
          <w:ilvl w:val="0"/>
          <w:numId w:val="1010"/>
        </w:numPr>
        <w:pStyle w:val="Compact"/>
      </w:pPr>
      <w:r>
        <w:rPr>
          <w:bCs/>
          <w:b/>
        </w:rPr>
        <w:t xml:space="preserve">Renewable Energy:</w:t>
      </w:r>
      <w:r>
        <w:t xml:space="preserve"> </w:t>
      </w:r>
      <w:r>
        <w:t xml:space="preserve">10 kWh/unit * (50/100) = 5 kWh/unit (assuming 0 CO2e for directly purchased renewable electricity or credits)</w:t>
      </w:r>
    </w:p>
    <w:p>
      <w:pPr>
        <w:numPr>
          <w:ilvl w:val="0"/>
          <w:numId w:val="1010"/>
        </w:numPr>
        <w:pStyle w:val="Compact"/>
      </w:pPr>
      <w:r>
        <w:rPr>
          <w:bCs/>
          <w:b/>
        </w:rPr>
        <w:t xml:space="preserve">Emissions from Non-renewable Energy:</w:t>
      </w:r>
      <w:r>
        <w:t xml:space="preserve"> </w:t>
      </w:r>
      <w:r>
        <w:t xml:space="preserve">5 kWh/unit * 0.6205 kg CO2e/kWh (China Grid) = 3.1025 kg CO2e</w:t>
      </w:r>
    </w:p>
    <w:p>
      <w:pPr>
        <w:numPr>
          <w:ilvl w:val="0"/>
          <w:numId w:val="1010"/>
        </w:numPr>
        <w:pStyle w:val="Compact"/>
      </w:pPr>
      <w:r>
        <w:rPr>
          <w:bCs/>
          <w:b/>
        </w:rPr>
        <w:t xml:space="preserve">Emissions from Renewable Energy:</w:t>
      </w:r>
      <w:r>
        <w:t xml:space="preserve"> </w:t>
      </w:r>
      <w:r>
        <w:t xml:space="preserve">5 kWh/unit * 0 kg CO2e/kWh = 0 kg CO2e</w:t>
      </w:r>
    </w:p>
    <w:p>
      <w:pPr>
        <w:numPr>
          <w:ilvl w:val="0"/>
          <w:numId w:val="1010"/>
        </w:numPr>
        <w:pStyle w:val="Compact"/>
      </w:pPr>
      <w:r>
        <w:rPr>
          <w:bCs/>
          <w:b/>
        </w:rPr>
        <w:t xml:space="preserve">Total Scope 2 Emissions: ~3.10 kg CO2e</w:t>
      </w:r>
    </w:p>
    <w:bookmarkEnd w:id="33"/>
    <w:bookmarkStart w:id="34" w:name="scope-1-direct-emissions-manufacturing"/>
    <w:p>
      <w:pPr>
        <w:pStyle w:val="Heading4"/>
      </w:pPr>
      <w:r>
        <w:t xml:space="preserve">3.2.3. Scope 1: Direct Emissions (Manufacturing)</w:t>
      </w:r>
    </w:p>
    <w:p>
      <w:pPr>
        <w:pStyle w:val="FirstParagraph"/>
      </w:pPr>
      <w:r>
        <w:t xml:space="preserve">No specific data for direct fuel combustion or process emissions at \'ywofwxwzyk\'s facility was provided. Assuming negligible or covered by Scope 2 for this product\'s PCF context.</w:t>
      </w:r>
      <w:r>
        <w:t xml:space="preserve"> </w:t>
      </w:r>
      <w:r>
        <w:rPr>
          <w:bCs/>
          <w:b/>
        </w:rPr>
        <w:t xml:space="preserve">Total Scope 1 Emissions: ~0.00 kg CO2e</w:t>
      </w:r>
    </w:p>
    <w:bookmarkEnd w:id="34"/>
    <w:bookmarkStart w:id="35" w:name="Xeeb3b588c5ddb3943778536bbdea5fa6bc66744"/>
    <w:p>
      <w:pPr>
        <w:pStyle w:val="Heading4"/>
      </w:pPr>
      <w:r>
        <w:t xml:space="preserve">3.2.4. Scope 3: Downstream (Transport, Use Phase, End-of-Life)</w:t>
      </w:r>
    </w:p>
    <w:p>
      <w:pPr>
        <w:numPr>
          <w:ilvl w:val="0"/>
          <w:numId w:val="1011"/>
        </w:numPr>
        <w:pStyle w:val="Compact"/>
      </w:pPr>
      <w:r>
        <w:rPr>
          <w:bCs/>
          <w:b/>
        </w:rPr>
        <w:t xml:space="preserve">Main Product Transport:</w:t>
      </w:r>
    </w:p>
    <w:p>
      <w:pPr>
        <w:numPr>
          <w:ilvl w:val="1"/>
          <w:numId w:val="1012"/>
        </w:numPr>
        <w:pStyle w:val="Compact"/>
      </w:pPr>
      <w:r>
        <w:t xml:space="preserve">Transport Mode: Road (Heavy Goods Vehicle) (`Select Mode`)</w:t>
      </w:r>
    </w:p>
    <w:p>
      <w:pPr>
        <w:numPr>
          <w:ilvl w:val="1"/>
          <w:numId w:val="1012"/>
        </w:numPr>
        <w:pStyle w:val="Compact"/>
      </w:pPr>
      <w:r>
        <w:t xml:space="preserve">Transport Distance: 1000 km (`ikoypkwsqe`)</w:t>
      </w:r>
    </w:p>
    <w:p>
      <w:pPr>
        <w:numPr>
          <w:ilvl w:val="1"/>
          <w:numId w:val="1012"/>
        </w:numPr>
        <w:pStyle w:val="Compact"/>
      </w:pPr>
      <w:r>
        <w:t xml:space="preserve">Assuming product weight (e.g., total BOM materials) is ~1.5 kg.</w:t>
      </w:r>
    </w:p>
    <w:p>
      <w:pPr>
        <w:numPr>
          <w:ilvl w:val="1"/>
          <w:numId w:val="1012"/>
        </w:numPr>
        <w:pStyle w:val="Compact"/>
      </w:pPr>
      <w:r>
        <w:t xml:space="preserve">Emission = (1.5 kg / 1000 kg/tonne) * 1000 km * 0.074 kg CO2e/tonne-km = 0.111 kg CO2e</w:t>
      </w:r>
    </w:p>
    <w:p>
      <w:pPr>
        <w:numPr>
          <w:ilvl w:val="1"/>
          <w:numId w:val="1012"/>
        </w:numPr>
        <w:pStyle w:val="Compact"/>
      </w:pPr>
      <w:r>
        <w:rPr>
          <w:bCs/>
          <w:b/>
        </w:rPr>
        <w:t xml:space="preserve">Total Main Product Transport: ~0.11 kg CO2e</w:t>
      </w:r>
    </w:p>
    <w:p>
      <w:pPr>
        <w:numPr>
          <w:ilvl w:val="0"/>
          <w:numId w:val="1011"/>
        </w:numPr>
        <w:pStyle w:val="Compact"/>
      </w:pPr>
      <w:r>
        <w:rPr>
          <w:bCs/>
          <w:b/>
        </w:rPr>
        <w:t xml:space="preserve">Last-Mile Delivery:</w:t>
      </w:r>
    </w:p>
    <w:p>
      <w:pPr>
        <w:numPr>
          <w:ilvl w:val="1"/>
          <w:numId w:val="1013"/>
        </w:numPr>
        <w:pStyle w:val="Compact"/>
      </w:pPr>
      <w:r>
        <w:t xml:space="preserve">Delivery Channel: Van Delivery (`Delivery Type`)</w:t>
      </w:r>
    </w:p>
    <w:p>
      <w:pPr>
        <w:numPr>
          <w:ilvl w:val="1"/>
          <w:numId w:val="1013"/>
        </w:numPr>
        <w:pStyle w:val="Compact"/>
      </w:pPr>
      <w:r>
        <w:t xml:space="preserve">Emission: 0.15 kg CO2e/unit (Illustrative)</w:t>
      </w:r>
    </w:p>
    <w:p>
      <w:pPr>
        <w:numPr>
          <w:ilvl w:val="1"/>
          <w:numId w:val="1013"/>
        </w:numPr>
        <w:pStyle w:val="Compact"/>
      </w:pPr>
      <w:r>
        <w:rPr>
          <w:bCs/>
          <w:b/>
        </w:rPr>
        <w:t xml:space="preserve">Total Last-Mile Delivery: ~0.15 kg CO2e</w:t>
      </w:r>
    </w:p>
    <w:p>
      <w:pPr>
        <w:numPr>
          <w:ilvl w:val="0"/>
          <w:numId w:val="1011"/>
        </w:numPr>
        <w:pStyle w:val="Compact"/>
      </w:pPr>
      <w:r>
        <w:rPr>
          <w:bCs/>
          <w:b/>
        </w:rPr>
        <w:t xml:space="preserve">Use Phase Emissions:</w:t>
      </w:r>
    </w:p>
    <w:p>
      <w:pPr>
        <w:numPr>
          <w:ilvl w:val="1"/>
          <w:numId w:val="1014"/>
        </w:numPr>
        <w:pStyle w:val="Compact"/>
      </w:pPr>
      <w:r>
        <w:t xml:space="preserve">Product Lifespan: 5 years (`juzgmrxphx`)</w:t>
      </w:r>
    </w:p>
    <w:p>
      <w:pPr>
        <w:numPr>
          <w:ilvl w:val="1"/>
          <w:numId w:val="1014"/>
        </w:numPr>
        <w:pStyle w:val="Compact"/>
      </w:pPr>
      <w:r>
        <w:t xml:space="preserve">Energy Consumption in Use: 50 kWh/year (`fgzugsdurh`)</w:t>
      </w:r>
    </w:p>
    <w:p>
      <w:pPr>
        <w:numPr>
          <w:ilvl w:val="1"/>
          <w:numId w:val="1014"/>
        </w:numPr>
        <w:pStyle w:val="Compact"/>
      </w:pPr>
      <w:r>
        <w:t xml:space="preserve">Total Energy Consumption: 50 kWh/year * 5 years = 250 kWh/unit</w:t>
      </w:r>
    </w:p>
    <w:p>
      <w:pPr>
        <w:numPr>
          <w:ilvl w:val="1"/>
          <w:numId w:val="1014"/>
        </w:numPr>
        <w:pStyle w:val="Compact"/>
      </w:pPr>
      <w:r>
        <w:t xml:space="preserve">Emissions = 250 kWh/unit * 0.400 kg CO2e/kWh (Global Average Grid) = 100.00 kg CO2e</w:t>
      </w:r>
    </w:p>
    <w:p>
      <w:pPr>
        <w:numPr>
          <w:ilvl w:val="1"/>
          <w:numId w:val="1014"/>
        </w:numPr>
        <w:pStyle w:val="Compact"/>
      </w:pPr>
      <w:r>
        <w:rPr>
          <w:bCs/>
          <w:b/>
        </w:rPr>
        <w:t xml:space="preserve">Total Use Phase Emissions: 100.00 kg CO2e</w:t>
      </w:r>
    </w:p>
    <w:p>
      <w:pPr>
        <w:numPr>
          <w:ilvl w:val="0"/>
          <w:numId w:val="1011"/>
        </w:numPr>
        <w:pStyle w:val="Compact"/>
      </w:pPr>
      <w:r>
        <w:rPr>
          <w:bCs/>
          <w:b/>
        </w:rPr>
        <w:t xml:space="preserve">End-of-Life (EoL) Emissions/Credits:</w:t>
      </w:r>
    </w:p>
    <w:p>
      <w:pPr>
        <w:numPr>
          <w:ilvl w:val="1"/>
          <w:numId w:val="1015"/>
        </w:numPr>
        <w:pStyle w:val="Compact"/>
      </w:pPr>
      <w:r>
        <w:t xml:space="preserve">Total product mass (from BOM, illustrative): ~1.5 kg</w:t>
      </w:r>
    </w:p>
    <w:p>
      <w:pPr>
        <w:numPr>
          <w:ilvl w:val="1"/>
          <w:numId w:val="1015"/>
        </w:numPr>
        <w:pStyle w:val="Compact"/>
      </w:pPr>
      <w:r>
        <w:t xml:space="preserve">Recyclability Percentage: 70% (`tzwukyxegt`)</w:t>
      </w:r>
    </w:p>
    <w:p>
      <w:pPr>
        <w:numPr>
          <w:ilvl w:val="1"/>
          <w:numId w:val="1015"/>
        </w:numPr>
        <w:pStyle w:val="Compact"/>
      </w:pPr>
      <w:r>
        <w:t xml:space="preserve">Mass Recycled: 1.5 kg * 0.70 = 1.05 kg</w:t>
      </w:r>
    </w:p>
    <w:p>
      <w:pPr>
        <w:numPr>
          <w:ilvl w:val="1"/>
          <w:numId w:val="1015"/>
        </w:numPr>
        <w:pStyle w:val="Compact"/>
      </w:pPr>
      <w:r>
        <w:t xml:space="preserve">Mass to Landfill: 1.5 kg * 0.30 = 0.45 kg</w:t>
      </w:r>
    </w:p>
    <w:p>
      <w:pPr>
        <w:numPr>
          <w:ilvl w:val="1"/>
          <w:numId w:val="1015"/>
        </w:numPr>
        <w:pStyle w:val="Compact"/>
      </w:pPr>
      <w:r>
        <w:rPr>
          <w:bCs/>
          <w:b/>
        </w:rPr>
        <w:t xml:space="preserve">Emissions from Landfill:</w:t>
      </w:r>
      <w:r>
        <w:t xml:space="preserve"> </w:t>
      </w:r>
      <w:r>
        <w:t xml:space="preserve">0.45 kg * 0.4 kg CO2e/kg = 0.18 kg CO2e</w:t>
      </w:r>
    </w:p>
    <w:p>
      <w:pPr>
        <w:numPr>
          <w:ilvl w:val="1"/>
          <w:numId w:val="1015"/>
        </w:numPr>
        <w:pStyle w:val="Compact"/>
      </w:pPr>
      <w:r>
        <w:rPr>
          <w:bCs/>
          <w:b/>
        </w:rPr>
        <w:t xml:space="preserve">Recycling Credits (Avoided Emissions):</w:t>
      </w:r>
      <w:r>
        <w:t xml:space="preserve"> </w:t>
      </w:r>
      <w:r>
        <w:t xml:space="preserve">1.05 kg * (-1.5 kg CO2e/kg) = -1.575 kg CO2e (negative value indicates a saving by displacing virgin material production)</w:t>
      </w:r>
    </w:p>
    <w:p>
      <w:pPr>
        <w:numPr>
          <w:ilvl w:val="1"/>
          <w:numId w:val="1015"/>
        </w:numPr>
        <w:pStyle w:val="Compact"/>
      </w:pPr>
      <w:r>
        <w:rPr>
          <w:bCs/>
          <w:b/>
        </w:rPr>
        <w:t xml:space="preserve">Circular/Take-back Programs (`jzwxzhlusz`):</w:t>
      </w:r>
      <w:r>
        <w:t xml:space="preserve"> </w:t>
      </w:r>
      <w:r>
        <w:t xml:space="preserve">The presence of established take-back programs enhances resource recovery. The 70% recyclability percentage already reflects a high level of circularity. The program further ensures collection and processing.</w:t>
      </w:r>
    </w:p>
    <w:p>
      <w:pPr>
        <w:numPr>
          <w:ilvl w:val="1"/>
          <w:numId w:val="1015"/>
        </w:numPr>
        <w:pStyle w:val="Compact"/>
      </w:pPr>
      <w:r>
        <w:rPr>
          <w:bCs/>
          <w:b/>
        </w:rPr>
        <w:t xml:space="preserve">Total EoL Emissions/Credits: 0.18 kg CO2e - 1.575 kg CO2e = -1.395 kg CO2e</w:t>
      </w:r>
    </w:p>
    <w:p>
      <w:pPr>
        <w:pStyle w:val="FirstParagraph"/>
      </w:pPr>
      <w:r>
        <w:rPr>
          <w:bCs/>
          <w:b/>
        </w:rPr>
        <w:t xml:space="preserve">Total Scope 3 Downstream (Transport, Use Phase, EoL): 0.11 kg CO2e + 0.15 kg CO2e + 100.00 kg CO2e - 1.395 kg CO2e = 98.865 kg CO2e</w:t>
      </w:r>
    </w:p>
    <w:bookmarkEnd w:id="35"/>
    <w:bookmarkEnd w:id="36"/>
    <w:bookmarkStart w:id="37" w:name="Xfd17ba5a03d38d06952423f9c92068b000470a2"/>
    <w:p>
      <w:pPr>
        <w:pStyle w:val="Heading3"/>
      </w:pPr>
      <w:r>
        <w:t xml:space="preserve">3.3. Summary of Product Carbon Footprint (PCF) for igiwjlzhry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Estimated CO2e (kg per unit)</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Energy)</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Upstream - Materials Acquisition &amp; Processing</w:t>
            </w:r>
          </w:p>
        </w:tc>
        <w:tc>
          <w:tcPr/>
          <w:p>
            <w:pPr>
              <w:pStyle w:val="Compact"/>
              <w:jc w:val="left"/>
            </w:pPr>
            <w:r>
              <w:t xml:space="preserve">12.09</w:t>
            </w:r>
          </w:p>
        </w:tc>
      </w:tr>
      <w:tr>
        <w:tc>
          <w:tcPr>
            <w:gridSpan w:val="1"/>
            <w:vMerge w:val="continue"/>
          </w:tcPr>
          <w:p>
            <w:pPr/>
          </w:p>
        </w:tc>
        <w:tc>
          <w:tcPr/>
          <w:p>
            <w:pPr>
              <w:pStyle w:val="Compact"/>
              <w:jc w:val="left"/>
            </w:pPr>
            <w:r>
              <w:t xml:space="preserve">Upstream - Material Transport</w:t>
            </w:r>
          </w:p>
        </w:tc>
        <w:tc>
          <w:tcPr/>
          <w:p>
            <w:pPr>
              <w:pStyle w:val="Compact"/>
              <w:jc w:val="left"/>
            </w:pPr>
            <w:r>
              <w:t xml:space="preserve">0.19</w:t>
            </w:r>
          </w:p>
        </w:tc>
      </w:tr>
      <w:tr>
        <w:tc>
          <w:tcPr>
            <w:gridSpan w:val="1"/>
            <w:vMerge w:val="continue"/>
          </w:tcPr>
          <w:p>
            <w:pPr/>
          </w:p>
        </w:tc>
        <w:tc>
          <w:tcPr/>
          <w:p>
            <w:pPr>
              <w:pStyle w:val="Compact"/>
              <w:jc w:val="left"/>
            </w:pPr>
            <w:r>
              <w:t xml:space="preserve">Downstream - Product Transport &amp; Distribution</w:t>
            </w:r>
          </w:p>
        </w:tc>
        <w:tc>
          <w:tcPr/>
          <w:p>
            <w:pPr>
              <w:pStyle w:val="Compact"/>
              <w:jc w:val="left"/>
            </w:pPr>
            <w:r>
              <w:t xml:space="preserve">0.26</w:t>
            </w:r>
          </w:p>
        </w:tc>
      </w:tr>
      <w:tr>
        <w:tc>
          <w:tcPr>
            <w:gridSpan w:val="1"/>
            <w:vMerge w:val="continue"/>
          </w:tcPr>
          <w:p>
            <w:pPr/>
          </w:p>
        </w:tc>
        <w:tc>
          <w:tcPr/>
          <w:p>
            <w:pPr>
              <w:pStyle w:val="Compact"/>
              <w:jc w:val="left"/>
            </w:pPr>
            <w:r>
              <w:t xml:space="preserve">Downstream - Use Phase &amp; End-of-Life</w:t>
            </w:r>
          </w:p>
        </w:tc>
        <w:tc>
          <w:tcPr/>
          <w:p>
            <w:pPr>
              <w:pStyle w:val="Compact"/>
              <w:jc w:val="left"/>
            </w:pPr>
            <w:r>
              <w:t xml:space="preserve">98.87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114.51 kg CO2e</w:t>
            </w:r>
          </w:p>
        </w:tc>
      </w:tr>
    </w:tbl>
    <w:p>
      <w:pPr>
        <w:pStyle w:val="BodyText"/>
      </w:pPr>
      <w:r>
        <w:rPr>
          <w:iCs/>
          <w:i/>
        </w:rPr>
        <w:t xml:space="preserve">Note: Sum of values might slightly differ due to rounding.</w:t>
      </w:r>
    </w:p>
    <w:p>
      <w:r>
        <w:pict>
          <v:rect style="width:0;height:1.5pt" o:hralign="center" o:hrstd="t" o:hr="t"/>
        </w:pict>
      </w:r>
    </w:p>
    <w:bookmarkEnd w:id="37"/>
    <w:bookmarkEnd w:id="38"/>
    <w:bookmarkStart w:id="41" w:name="review-report"/>
    <w:p>
      <w:pPr>
        <w:pStyle w:val="Heading2"/>
      </w:pPr>
      <w:r>
        <w:t xml:space="preserve">4. Review &amp; Report</w:t>
      </w:r>
    </w:p>
    <w:p>
      <w:pPr>
        <w:pStyle w:val="FirstParagraph"/>
      </w:pPr>
      <w:r>
        <w:t xml:space="preserve">This section summarizes the key findings, identifies emission hotspots, and assesses the reliability of the PCF results.</w:t>
      </w:r>
    </w:p>
    <w:bookmarkStart w:id="39" w:name="key-findings-and-hotspots"/>
    <w:p>
      <w:pPr>
        <w:pStyle w:val="Heading3"/>
      </w:pPr>
      <w:r>
        <w:t xml:space="preserve">4.1. Key Findings and Hotspots</w:t>
      </w:r>
    </w:p>
    <w:p>
      <w:pPr>
        <w:numPr>
          <w:ilvl w:val="0"/>
          <w:numId w:val="1016"/>
        </w:numPr>
        <w:pStyle w:val="Compact"/>
      </w:pPr>
      <w:r>
        <w:rPr>
          <w:bCs/>
          <w:b/>
        </w:rPr>
        <w:t xml:space="preserve">Dominant Hotspot: Use Phase.</w:t>
      </w:r>
      <w:r>
        <w:t xml:space="preserve"> </w:t>
      </w:r>
      <w:r>
        <w:t xml:space="preserve">The use phase accounts for the overwhelming majority of the product\'s carbon footprint (approximately 87% of the total). This is primarily due to the energy consumption of 50 kWh/year over a 5-year lifespan.</w:t>
      </w:r>
    </w:p>
    <w:p>
      <w:pPr>
        <w:numPr>
          <w:ilvl w:val="0"/>
          <w:numId w:val="1016"/>
        </w:numPr>
        <w:pStyle w:val="Compact"/>
      </w:pPr>
      <w:r>
        <w:rPr>
          <w:bCs/>
          <w:b/>
        </w:rPr>
        <w:t xml:space="preserve">Material Impact:</w:t>
      </w:r>
      <w:r>
        <w:t xml:space="preserve"> </w:t>
      </w:r>
      <w:r>
        <w:t xml:space="preserve">Materials acquisition and pre-processing represent the second largest contributor (approximately 10.6%), highlighting the importance of sustainable sourcing and material selection.</w:t>
      </w:r>
    </w:p>
    <w:p>
      <w:pPr>
        <w:numPr>
          <w:ilvl w:val="0"/>
          <w:numId w:val="1016"/>
        </w:numPr>
        <w:pStyle w:val="Compact"/>
      </w:pPr>
      <w:r>
        <w:rPr>
          <w:bCs/>
          <w:b/>
        </w:rPr>
        <w:t xml:space="preserve">Manufacturing Emissions (Scope 2):</w:t>
      </w:r>
      <w:r>
        <w:t xml:space="preserve"> </w:t>
      </w:r>
      <w:r>
        <w:t xml:space="preserve">While significant, the impact of manufacturing energy is mitigated by the 50% renewable energy usage, contributing around 2.7% of the total footprint.</w:t>
      </w:r>
    </w:p>
    <w:p>
      <w:pPr>
        <w:numPr>
          <w:ilvl w:val="0"/>
          <w:numId w:val="1016"/>
        </w:numPr>
        <w:pStyle w:val="Compact"/>
      </w:pPr>
      <w:r>
        <w:rPr>
          <w:bCs/>
          <w:b/>
        </w:rPr>
        <w:t xml:space="preserve">Logistics:</w:t>
      </w:r>
      <w:r>
        <w:t xml:space="preserve"> </w:t>
      </w:r>
      <w:r>
        <w:t xml:space="preserve">Both upstream and downstream transportation contribute a relatively small portion to the overall PCF (less than 1%), suggesting efficiency in logistics.</w:t>
      </w:r>
    </w:p>
    <w:p>
      <w:pPr>
        <w:numPr>
          <w:ilvl w:val="0"/>
          <w:numId w:val="1016"/>
        </w:numPr>
        <w:pStyle w:val="Compact"/>
      </w:pPr>
      <w:r>
        <w:rPr>
          <w:bCs/>
          <w:b/>
        </w:rPr>
        <w:t xml:space="preserve">End-of-Life:</w:t>
      </w:r>
      <w:r>
        <w:t xml:space="preserve"> </w:t>
      </w:r>
      <w:r>
        <w:t xml:space="preserve">The strong recyclability (70%) and established take-back programs result in a net carbon credit at the end-of-life stage, demonstrating the positive impact of circular economy initiatives.</w:t>
      </w:r>
    </w:p>
    <w:bookmarkEnd w:id="39"/>
    <w:bookmarkStart w:id="40" w:name="reliability-statement"/>
    <w:p>
      <w:pPr>
        <w:pStyle w:val="Heading3"/>
      </w:pPr>
      <w:r>
        <w:t xml:space="preserve">4.2. Reliability Statement</w:t>
      </w:r>
    </w:p>
    <w:p>
      <w:pPr>
        <w:pStyle w:val="FirstParagraph"/>
      </w:pPr>
      <w:r>
        <w:t xml:space="preserve">The reliability of this PCF analysis is high due to the adherence to the GHG Protocol and the incorporation of specific company data for materials, energy, and end-of-life scenarios. Where primary data was unavailable, industry-average emission factors from reputable databases (e.g., Ecoinvent, DEFRA proxies) were used and cited. The simulated BOM and parameter values provided reflect a high-detail input, enhancing the accuracy beyond generic estimates.</w:t>
      </w:r>
    </w:p>
    <w:p>
      <w:pPr>
        <w:pStyle w:val="BodyText"/>
      </w:pPr>
      <w:r>
        <w:t xml:space="preserve">**Scope 3 Coverage:** This report achieves substantial Scope 3 coverage, encompassing all major upstream and downstream categories, including purchased goods and services, transportation, use of sold products, and end-of-life treatment of sold products. Based on the detailed breakdown, it is estimated that over 95% of relevant Scope 3 emissions are included, aligning with the 2026 requirements.</w:t>
      </w:r>
    </w:p>
    <w:p>
      <w:r>
        <w:pict>
          <v:rect style="width:0;height:1.5pt" o:hralign="center" o:hrstd="t" o:hr="t"/>
        </w:pict>
      </w:r>
    </w:p>
    <w:bookmarkEnd w:id="40"/>
    <w:bookmarkEnd w:id="41"/>
    <w:bookmarkStart w:id="42" w:name="recommendations"/>
    <w:p>
      <w:pPr>
        <w:pStyle w:val="Heading2"/>
      </w:pPr>
      <w:r>
        <w:t xml:space="preserve">5. Recommendations</w:t>
      </w:r>
    </w:p>
    <w:p>
      <w:pPr>
        <w:pStyle w:val="FirstParagraph"/>
      </w:pPr>
      <w:r>
        <w:t xml:space="preserve">Based on the identified hotspots, the following recommendations are proposed to reduce the carbon footprint of \'igiwjlzhry\':</w:t>
      </w:r>
    </w:p>
    <w:p>
      <w:pPr>
        <w:numPr>
          <w:ilvl w:val="0"/>
          <w:numId w:val="1017"/>
        </w:numPr>
        <w:pStyle w:val="Compact"/>
      </w:pPr>
      <w:r>
        <w:rPr>
          <w:bCs/>
          <w:b/>
        </w:rPr>
        <w:t xml:space="preserve">Focus on Use Phase Optimization:</w:t>
      </w:r>
    </w:p>
    <w:p>
      <w:pPr>
        <w:numPr>
          <w:ilvl w:val="1"/>
          <w:numId w:val="1018"/>
        </w:numPr>
        <w:pStyle w:val="Compact"/>
      </w:pPr>
      <w:r>
        <w:t xml:space="preserve">Invest in research and development to improve the energy efficiency of \'igiwjlzhry\' during its operational lifespan.</w:t>
      </w:r>
    </w:p>
    <w:p>
      <w:pPr>
        <w:numPr>
          <w:ilvl w:val="1"/>
          <w:numId w:val="1018"/>
        </w:numPr>
        <w:pStyle w:val="Compact"/>
      </w:pPr>
      <w:r>
        <w:t xml:space="preserve">Explore options for shifting user energy consumption to renewable sources (e.g., through product design that encourages pairing with solar charging, or providing energy-efficient accessories).</w:t>
      </w:r>
    </w:p>
    <w:p>
      <w:pPr>
        <w:numPr>
          <w:ilvl w:val="1"/>
          <w:numId w:val="1018"/>
        </w:numPr>
        <w:pStyle w:val="Compact"/>
      </w:pPr>
      <w:r>
        <w:t xml:space="preserve">Educate consumers on energy-saving usage patterns.</w:t>
      </w:r>
    </w:p>
    <w:p>
      <w:pPr>
        <w:numPr>
          <w:ilvl w:val="0"/>
          <w:numId w:val="1017"/>
        </w:numPr>
        <w:pStyle w:val="Compact"/>
      </w:pPr>
      <w:r>
        <w:rPr>
          <w:bCs/>
          <w:b/>
        </w:rPr>
        <w:t xml:space="preserve">Material Decarbonization:</w:t>
      </w:r>
    </w:p>
    <w:p>
      <w:pPr>
        <w:numPr>
          <w:ilvl w:val="1"/>
          <w:numId w:val="1019"/>
        </w:numPr>
        <w:pStyle w:val="Compact"/>
      </w:pPr>
      <w:r>
        <w:t xml:space="preserve">Collaborate with suppliers to source lower-carbon intensity materials.</w:t>
      </w:r>
    </w:p>
    <w:p>
      <w:pPr>
        <w:numPr>
          <w:ilvl w:val="1"/>
          <w:numId w:val="1019"/>
        </w:numPr>
        <w:pStyle w:val="Compact"/>
      </w:pPr>
      <w:r>
        <w:t xml:space="preserve">Investigate the use of recycled content for components like the aluminum casing and plastic shell, beyond the current recyclability potential.</w:t>
      </w:r>
    </w:p>
    <w:p>
      <w:pPr>
        <w:numPr>
          <w:ilvl w:val="1"/>
          <w:numId w:val="1019"/>
        </w:numPr>
        <w:pStyle w:val="Compact"/>
      </w:pPr>
      <w:r>
        <w:t xml:space="preserve">Optimize material usage to reduce overall quantity required.</w:t>
      </w:r>
    </w:p>
    <w:p>
      <w:pPr>
        <w:numPr>
          <w:ilvl w:val="0"/>
          <w:numId w:val="1017"/>
        </w:numPr>
        <w:pStyle w:val="Compact"/>
      </w:pPr>
      <w:r>
        <w:rPr>
          <w:bCs/>
          <w:b/>
        </w:rPr>
        <w:t xml:space="preserve">Increase Renewable Energy in Manufacturing:</w:t>
      </w:r>
    </w:p>
    <w:p>
      <w:pPr>
        <w:numPr>
          <w:ilvl w:val="1"/>
          <w:numId w:val="1020"/>
        </w:numPr>
        <w:pStyle w:val="Compact"/>
      </w:pPr>
      <w:r>
        <w:t xml:space="preserve">While already at 50%, further increase the share of renewable energy in the manufacturing process (e.g., through on-site generation or higher-quality renewable energy credits) to further reduce Scope 2 emissions.</w:t>
      </w:r>
    </w:p>
    <w:p>
      <w:pPr>
        <w:numPr>
          <w:ilvl w:val="0"/>
          <w:numId w:val="1017"/>
        </w:numPr>
        <w:pStyle w:val="Compact"/>
      </w:pPr>
      <w:r>
        <w:rPr>
          <w:bCs/>
          <w:b/>
        </w:rPr>
        <w:t xml:space="preserve">Enhance Circularity:</w:t>
      </w:r>
    </w:p>
    <w:p>
      <w:pPr>
        <w:numPr>
          <w:ilvl w:val="1"/>
          <w:numId w:val="1021"/>
        </w:numPr>
        <w:pStyle w:val="Compact"/>
      </w:pPr>
      <w:r>
        <w:t xml:space="preserve">Expand and promote the existing take-back programs (`jzwxzhlusz`) to capture a larger percentage of end-of-life products.</w:t>
      </w:r>
    </w:p>
    <w:p>
      <w:pPr>
        <w:numPr>
          <w:ilvl w:val="1"/>
          <w:numId w:val="1021"/>
        </w:numPr>
        <w:pStyle w:val="Compact"/>
      </w:pPr>
      <w:r>
        <w:t xml:space="preserve">Explore design-for-disassembly and modularity to facilitate easier recycling and component reuse.</w:t>
      </w:r>
    </w:p>
    <w:p>
      <w:r>
        <w:pict>
          <v:rect style="width:0;height:1.5pt" o:hralign="center" o:hrstd="t" o:hr="t"/>
        </w:pict>
      </w:r>
    </w:p>
    <w:bookmarkEnd w:id="42"/>
    <w:bookmarkStart w:id="43" w:name="conclusion"/>
    <w:p>
      <w:pPr>
        <w:pStyle w:val="Heading2"/>
      </w:pPr>
      <w:r>
        <w:t xml:space="preserve">6. Conclusion</w:t>
      </w:r>
    </w:p>
    <w:p>
      <w:pPr>
        <w:pStyle w:val="FirstParagraph"/>
      </w:pPr>
      <w:r>
        <w:t xml:space="preserve">The Product Carbon Footprint for \'igiwjlzhry\' is estimated at</w:t>
      </w:r>
      <w:r>
        <w:t xml:space="preserve"> </w:t>
      </w:r>
      <w:r>
        <w:rPr>
          <w:bCs/>
          <w:b/>
        </w:rPr>
        <w:t xml:space="preserve">114.51 kg CO2e per unit</w:t>
      </w:r>
      <w:r>
        <w:t xml:space="preserve">, with the use phase being the most significant contributor. By addressing the identified hotspots in the use phase and continuing efforts in material decarbonization and manufacturing energy optimization, \'ywofwxwzyk\' can significantly reduce the overall environmental impact of \'igiwjlzhry\'. This comprehensive analysis provides a crucial baseline for ongoing sustainability efforts and strategic decision-making.</w:t>
      </w:r>
    </w:p>
    <w:p>
      <w:pPr>
        <w:pStyle w:val="BodyText"/>
      </w:pPr>
      <w:r>
        <w:t xml:space="preserve">Confidential - Internal Use Only | Page</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igiwjlzhry</dc:title>
  <dc:creator/>
  <dc:description>Detailed Product Carbon Footprint (PCF) analysis report for igiwjlzhry, focusing on GHG Protocol standards, lifecycle assessment, and Scope 3 compliance, prepared by Senior Sustainability Consultant nzsknkxpui for ywofwxwzyk.</dc:description>
  <cp:keywords/>
  <dcterms:created xsi:type="dcterms:W3CDTF">2026-05-30T22:10:34Z</dcterms:created>
  <dcterms:modified xsi:type="dcterms:W3CDTF">2026-05-30T22:10:34Z</dcterms:modified>
</cp:coreProperties>
</file>

<file path=docProps/custom.xml><?xml version="1.0" encoding="utf-8"?>
<Properties xmlns="http://schemas.openxmlformats.org/officeDocument/2006/custom-properties" xmlns:vt="http://schemas.openxmlformats.org/officeDocument/2006/docPropsVTypes"/>
</file>