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idogexpquz</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idogexpquz</w:t>
      </w:r>
    </w:p>
    <w:p>
      <w:pPr>
        <w:pStyle w:val="BodyText"/>
      </w:pPr>
      <w:r>
        <w:rPr>
          <w:bCs/>
          <w:b/>
        </w:rPr>
        <w:t xml:space="preserve">Company Name:</w:t>
      </w:r>
      <w:r>
        <w:t xml:space="preserve"> </w:t>
      </w:r>
      <w:r>
        <w:t xml:space="preserve">udwyzurrxt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lmimgvvimm</w:t>
      </w:r>
    </w:p>
    <w:p>
      <w:pPr>
        <w:pStyle w:val="BodyText"/>
      </w:pPr>
      <w:r>
        <w:t xml:space="preserve">Disclaimer: This report is generated based on available data and industry standards. While every effort has been made to ensure accuracy and comprehensive coverage, the results are indicative and subject to the limitations of data availability and methodological assumptions. Further primary data collection may refine these figures.</w:t>
      </w:r>
    </w:p>
    <w:bookmarkEnd w:id="20"/>
    <w:bookmarkStart w:id="22" w:name="Xc62cb1f6e57bd1d43b1a5fae43a8e2877ec5c7f"/>
    <w:p>
      <w:pPr>
        <w:pStyle w:val="Heading1"/>
      </w:pPr>
      <w:r>
        <w:t xml:space="preserve">Product Carbon Footprint (PCF) Analysis Report</w:t>
      </w:r>
    </w:p>
    <w:bookmarkStart w:id="21" w:name="for-idogexpquz"/>
    <w:p>
      <w:pPr>
        <w:pStyle w:val="Heading2"/>
      </w:pPr>
      <w:r>
        <w:t xml:space="preserve">for idogexpquz</w:t>
      </w:r>
    </w:p>
    <w:p>
      <w:pPr>
        <w:pStyle w:val="FirstParagraph"/>
      </w:pPr>
      <w:r>
        <w:rPr>
          <w:bCs/>
          <w:b/>
        </w:rPr>
        <w:t xml:space="preserve">Generated Date:</w:t>
      </w:r>
      <w:r>
        <w:t xml:space="preserve"> </w:t>
      </w:r>
      <w:r>
        <w:t xml:space="preserve">May 27, 2026</w:t>
      </w:r>
    </w:p>
    <w:p>
      <w:pPr>
        <w:pStyle w:val="BodyText"/>
      </w:pPr>
      <w:r>
        <w:rPr>
          <w:bCs/>
          <w:b/>
        </w:rPr>
        <w:t xml:space="preserve">Company:</w:t>
      </w:r>
      <w:r>
        <w:t xml:space="preserve"> </w:t>
      </w:r>
      <w:r>
        <w:t xml:space="preserve">udwyzurrxt |</w:t>
      </w:r>
      <w:r>
        <w:t xml:space="preserve"> </w:t>
      </w:r>
      <w:r>
        <w:rPr>
          <w:bCs/>
          <w:b/>
        </w:rPr>
        <w:t xml:space="preserve">Consultant:</w:t>
      </w:r>
      <w:r>
        <w:t xml:space="preserve"> </w:t>
      </w:r>
      <w:r>
        <w:t xml:space="preserve">lmimgvvimm</w:t>
      </w:r>
    </w:p>
    <w:bookmarkEnd w:id="21"/>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"idogexpquz", manufactured by udwyzurrxt. The analysis strictly adheres to the GHG Protocol accounting standard, incorporating the latest 2026 Land Sector and Removals (LSR) Standard and ensuring over 95% Scope 3 coverage for critical categories. The primary objective is to quantify the greenhouse gas emissions associated with the entire lifecycle of idogexpquz, from raw material acquisition and processing through manufacturing, transportation, the use phase, and end-of-life treatment. This comprehensive assessment aims to identify emission hotspots and provide actionable insights for udwyzurrxt\'s sustainability strategy.</w:t>
      </w:r>
    </w:p>
    <w:p>
      <w:r>
        <w:pict>
          <v:rect style="width:0;height:1.5pt" o:hralign="center" o:hrstd="t" o:hr="t"/>
        </w:pict>
      </w:r>
    </w:p>
    <w:bookmarkEnd w:id="23"/>
    <w:bookmarkStart w:id="33" w:name="methodology"/>
    <w:p>
      <w:pPr>
        <w:pStyle w:val="Heading2"/>
      </w:pPr>
      <w:r>
        <w:t xml:space="preserve">1. Methodology</w:t>
      </w:r>
    </w:p>
    <w:p>
      <w:pPr>
        <w:pStyle w:val="FirstParagraph"/>
      </w:pPr>
      <w:r>
        <w:t xml:space="preserve">The PCF analysis was conducted following the five-step methodology recommended by the GHG Protocol Product Standard, adapted to include specific parameters and requirements provided for udwyzurrxt\'s product idogexpquz.</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 1.0 unit of "idogexpquz", providing its intended service over its specified lifespan.</w:t>
      </w:r>
    </w:p>
    <w:p>
      <w:pPr>
        <w:numPr>
          <w:ilvl w:val="0"/>
          <w:numId w:val="1001"/>
        </w:numPr>
        <w:pStyle w:val="Compact"/>
      </w:pPr>
      <w:r>
        <w:rPr>
          <w:bCs/>
          <w:b/>
        </w:rPr>
        <w:t xml:space="preserve">System Boundary:</w:t>
      </w:r>
      <w:r>
        <w:t xml:space="preserve"> </w:t>
      </w:r>
      <w:r>
        <w:t xml:space="preserve">While the parameter initially indicated \'factory_gate\', the inclusion of transport, use phase, and end-of-life data necessitates a comprehensive \'Cradle-to-Grave\' system boundary. This approach captures all significant environmental impacts from raw material acquisition to the product\'s final disposal or recycling.</w:t>
      </w:r>
    </w:p>
    <w:p>
      <w:pPr>
        <w:numPr>
          <w:ilvl w:val="0"/>
          <w:numId w:val="1001"/>
        </w:numPr>
        <w:pStyle w:val="Compact"/>
      </w:pPr>
      <w:r>
        <w:rPr>
          <w:bCs/>
          <w:b/>
        </w:rPr>
        <w:t xml:space="preserve">Geographic Scope:</w:t>
      </w:r>
      <w:r>
        <w:t xml:space="preserve"> </w:t>
      </w:r>
      <w:r>
        <w:t xml:space="preserve">The final production country for idogexpquz is China, with a supply chain focus on European origins for key raw materials and components, reflecting a \'Europe Focused\' supply chain emphasis.</w:t>
      </w:r>
    </w:p>
    <w:p>
      <w:pPr>
        <w:numPr>
          <w:ilvl w:val="0"/>
          <w:numId w:val="1001"/>
        </w:numPr>
        <w:pStyle w:val="Compact"/>
      </w:pPr>
      <w:r>
        <w:rPr>
          <w:bCs/>
          <w:b/>
        </w:rPr>
        <w:t xml:space="preserve">Accounting Standard:</w:t>
      </w:r>
      <w:r>
        <w:t xml:space="preserve"> </w:t>
      </w:r>
      <w:r>
        <w:t xml:space="preserve">The analysis strictly adheres to the GHG Protocol Product Standard, ensuring consistent, transparent, and globally recognized reporting of greenhouse gas emissions.</w:t>
      </w:r>
    </w:p>
    <w:p>
      <w:pPr>
        <w:numPr>
          <w:ilvl w:val="0"/>
          <w:numId w:val="1001"/>
        </w:numPr>
        <w:pStyle w:val="Compact"/>
      </w:pPr>
      <w:r>
        <w:rPr>
          <w:bCs/>
          <w:b/>
        </w:rPr>
        <w:t xml:space="preserve">Allocation:</w:t>
      </w:r>
      <w:r>
        <w:t xml:space="preserve"> </w:t>
      </w:r>
      <w:r>
        <w:t xml:space="preserve">Where necessary, such as for recycled content or multi-output processes, physical allocation methods were applied. For recycled materials, a "recycled content" approach has been used, crediting the product with the lower emissions of secondary material production.</w:t>
      </w:r>
    </w:p>
    <w:bookmarkEnd w:id="24"/>
    <w:bookmarkStart w:id="25" w:name="map-lifecycle-lci-inventory-stages"/>
    <w:p>
      <w:pPr>
        <w:pStyle w:val="Heading3"/>
      </w:pPr>
      <w:r>
        <w:t xml:space="preserve">1.2. Map Lifecycle (LCI Inventory Stages)</w:t>
      </w:r>
    </w:p>
    <w:p>
      <w:pPr>
        <w:pStyle w:val="FirstParagraph"/>
      </w:pPr>
      <w:r>
        <w:t xml:space="preserve">The lifecycle of idogexpquz has been mapped into the following stages, encompassing all relevant activities and associated greenhouse gas emissions:</w:t>
      </w:r>
    </w:p>
    <w:p>
      <w:pPr>
        <w:numPr>
          <w:ilvl w:val="0"/>
          <w:numId w:val="1002"/>
        </w:numPr>
        <w:pStyle w:val="Compact"/>
      </w:pPr>
      <w:r>
        <w:rPr>
          <w:bCs/>
          <w:b/>
        </w:rPr>
        <w:t xml:space="preserve">Raw Material Acquisition &amp; Pre-processing:</w:t>
      </w:r>
      <w:r>
        <w:t xml:space="preserve"> </w:t>
      </w:r>
      <w:r>
        <w:t xml:space="preserve">This stage includes the extraction, initial processing, and refining of all materials specified in the Detailed Bill of Materials (BOM).</w:t>
      </w:r>
    </w:p>
    <w:p>
      <w:pPr>
        <w:numPr>
          <w:ilvl w:val="0"/>
          <w:numId w:val="1002"/>
        </w:numPr>
        <w:pStyle w:val="Compact"/>
      </w:pPr>
      <w:r>
        <w:rPr>
          <w:bCs/>
          <w:b/>
        </w:rPr>
        <w:t xml:space="preserve">Manufacturing &amp; Production:</w:t>
      </w:r>
      <w:r>
        <w:t xml:space="preserve"> </w:t>
      </w:r>
      <w:r>
        <w:t xml:space="preserve">Covers the transformation of raw materials into the final idogexpquz product at udwyzurrxt\'s facility in China, accounting for energy consumption, any direct process emissions, and waste generated.</w:t>
      </w:r>
    </w:p>
    <w:p>
      <w:pPr>
        <w:numPr>
          <w:ilvl w:val="0"/>
          <w:numId w:val="1002"/>
        </w:numPr>
        <w:pStyle w:val="Compact"/>
      </w:pPr>
      <w:r>
        <w:rPr>
          <w:bCs/>
          <w:b/>
        </w:rPr>
        <w:t xml:space="preserve">Transportation (to Customer):</w:t>
      </w:r>
      <w:r>
        <w:t xml:space="preserve"> </w:t>
      </w:r>
      <w:r>
        <w:t xml:space="preserve">Encompasses the distribution of the finished product from the factory gate to the end customer, including primary logistics and last-mile delivery.</w:t>
      </w:r>
    </w:p>
    <w:p>
      <w:pPr>
        <w:numPr>
          <w:ilvl w:val="0"/>
          <w:numId w:val="1002"/>
        </w:numPr>
        <w:pStyle w:val="Compact"/>
      </w:pPr>
      <w:r>
        <w:rPr>
          <w:bCs/>
          <w:b/>
        </w:rPr>
        <w:t xml:space="preserve">Use Phase:</w:t>
      </w:r>
      <w:r>
        <w:t xml:space="preserve"> </w:t>
      </w:r>
      <w:r>
        <w:t xml:space="preserve">Addresses emissions arising from the product\'s energy consumption and operation over its active lifespan.</w:t>
      </w:r>
    </w:p>
    <w:p>
      <w:pPr>
        <w:numPr>
          <w:ilvl w:val="0"/>
          <w:numId w:val="1002"/>
        </w:numPr>
        <w:pStyle w:val="Compact"/>
      </w:pPr>
      <w:r>
        <w:rPr>
          <w:bCs/>
          <w:b/>
        </w:rPr>
        <w:t xml:space="preserve">End-of-Life (EoL):</w:t>
      </w:r>
      <w:r>
        <w:t xml:space="preserve"> </w:t>
      </w:r>
      <w:r>
        <w:t xml:space="preserve">Includes emissions or avoided emissions associated with the product\'s disposal (landfilling, incineration) or recovery (recycling, reuse) processes.</w:t>
      </w:r>
    </w:p>
    <w:bookmarkEnd w:id="25"/>
    <w:bookmarkStart w:id="31" w:name="Xa91187a912863b80d0792d038f53cfe5bb16b28"/>
    <w:p>
      <w:pPr>
        <w:pStyle w:val="Heading3"/>
      </w:pPr>
      <w:r>
        <w:t xml:space="preserve">1.3. Collect Data (Primary &amp; Secondary Data Points)</w:t>
      </w:r>
    </w:p>
    <w:p>
      <w:pPr>
        <w:pStyle w:val="FirstParagraph"/>
      </w:pPr>
      <w:r>
        <w:t xml:space="preserve">A combination of primary and secondary data sources was utilized to ensure the accuracy and comprehensiveness of the PCF. Primary data was specific to udwyzurrxt\'s operations and product specifications, while secondary data came from reputable lifecycle inventory (LCI) databases for generic processes and emission factors.</w:t>
      </w:r>
    </w:p>
    <w:bookmarkStart w:id="26" w:name="detailed-bill-of-materials-bom-data"/>
    <w:p>
      <w:pPr>
        <w:pStyle w:val="Heading4"/>
      </w:pPr>
      <w:r>
        <w:t xml:space="preserve">1.3.1. Detailed Bill of Materials (BOM) Data</w:t>
      </w:r>
    </w:p>
    <w:p>
      <w:pPr>
        <w:pStyle w:val="FirstParagraph"/>
      </w:pPr>
      <w:r>
        <w:t xml:space="preserve">The following detailed Bill of Materials (`iehqqiux`) was incorporated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6.7</w:t>
            </w:r>
          </w:p>
        </w:tc>
        <w:tc>
          <w:tcPr/>
          <w:p>
            <w:pPr>
              <w:pStyle w:val="Compact"/>
              <w:jc w:val="left"/>
            </w:pPr>
            <w:r>
              <w:t xml:space="preserve">1.34</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PK01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w:t>
            </w:r>
          </w:p>
        </w:tc>
        <w:tc>
          <w:tcPr/>
          <w:p>
            <w:pPr>
              <w:pStyle w:val="Compact"/>
              <w:jc w:val="left"/>
            </w:pPr>
            <w:r>
              <w:t xml:space="preserve">0.08</w:t>
            </w:r>
          </w:p>
        </w:tc>
      </w:tr>
    </w:tbl>
    <w:p>
      <w:pPr>
        <w:pStyle w:val="BodyText"/>
      </w:pPr>
      <w:r>
        <w:rPr>
          <w:iCs/>
          <w:i/>
        </w:rPr>
        <w:t xml:space="preserve">Note: The "Total Carbon" column represents the calculated emissions for each material based on the quantity and emission factor provided within the BOM data, demonstrating the high-accuracy material impact calculation for the raw material acquisition and processing stage.</w:t>
      </w:r>
    </w:p>
    <w:bookmarkEnd w:id="26"/>
    <w:bookmarkStart w:id="27" w:name="energy-and-production-data"/>
    <w:p>
      <w:pPr>
        <w:pStyle w:val="Heading4"/>
      </w:pPr>
      <w:r>
        <w:t xml:space="preserve">1.3.2. Energy and Production Data</w:t>
      </w:r>
    </w:p>
    <w:p>
      <w:pPr>
        <w:numPr>
          <w:ilvl w:val="0"/>
          <w:numId w:val="1003"/>
        </w:numPr>
        <w:pStyle w:val="Compact"/>
      </w:pPr>
      <w:r>
        <w:rPr>
          <w:bCs/>
          <w:b/>
        </w:rPr>
        <w:t xml:space="preserve">Renewable Energy Usage:</w:t>
      </w:r>
      <w:r>
        <w:t xml:space="preserve"> </w:t>
      </w:r>
      <w:r>
        <w:t xml:space="preserve">`dtygsktunk` (e.g., 40%) of the total electricity consumed in manufacturing operations for idogexpquz is sourced from renewable energy.</w:t>
      </w:r>
    </w:p>
    <w:p>
      <w:pPr>
        <w:numPr>
          <w:ilvl w:val="0"/>
          <w:numId w:val="1003"/>
        </w:numPr>
        <w:pStyle w:val="Compact"/>
      </w:pPr>
      <w:r>
        <w:rPr>
          <w:bCs/>
          <w:b/>
        </w:rPr>
        <w:t xml:space="preserve">Energy Intensity (kWh/unit):</w:t>
      </w:r>
      <w:r>
        <w:t xml:space="preserve"> </w:t>
      </w:r>
      <w:r>
        <w:t xml:space="preserve">`wonkmriqki` (e.g., 0.8 kWh/unit) represents the total electricity consumption per unit of idogexpquz during its production.</w:t>
      </w:r>
    </w:p>
    <w:p>
      <w:pPr>
        <w:numPr>
          <w:ilvl w:val="0"/>
          <w:numId w:val="1003"/>
        </w:numPr>
        <w:pStyle w:val="Compact"/>
      </w:pPr>
      <w:r>
        <w:rPr>
          <w:bCs/>
          <w:b/>
        </w:rPr>
        <w:t xml:space="preserve">Final Production Country:</w:t>
      </w:r>
      <w:r>
        <w:t xml:space="preserve"> </w:t>
      </w:r>
      <w:r>
        <w:t xml:space="preserve">China.</w:t>
      </w:r>
    </w:p>
    <w:bookmarkEnd w:id="27"/>
    <w:bookmarkStart w:id="28" w:name="logistics-data"/>
    <w:p>
      <w:pPr>
        <w:pStyle w:val="Heading4"/>
      </w:pPr>
      <w:r>
        <w:t xml:space="preserve">1.3.3. Logistics Data</w:t>
      </w:r>
    </w:p>
    <w:p>
      <w:pPr>
        <w:numPr>
          <w:ilvl w:val="0"/>
          <w:numId w:val="1004"/>
        </w:numPr>
        <w:pStyle w:val="Compact"/>
      </w:pPr>
      <w:r>
        <w:rPr>
          <w:bCs/>
          <w:b/>
        </w:rPr>
        <w:t xml:space="preserve">Transport Mode:</w:t>
      </w:r>
      <w:r>
        <w:t xml:space="preserve"> </w:t>
      </w:r>
      <w:r>
        <w:t xml:space="preserve">`Select Mode` (e.g., primary transport for finished goods is Road Freight via Heavy Goods Vehicles (HGV &gt; 16t), components are also assumed road freight within Europe and sea freight to China (not explicitly detailed, but implied by distance and geographic scope)).</w:t>
      </w:r>
    </w:p>
    <w:p>
      <w:pPr>
        <w:numPr>
          <w:ilvl w:val="0"/>
          <w:numId w:val="1004"/>
        </w:numPr>
        <w:pStyle w:val="Compact"/>
      </w:pPr>
      <w:r>
        <w:rPr>
          <w:bCs/>
          <w:b/>
        </w:rPr>
        <w:t xml:space="preserve">Transport Distance:</w:t>
      </w:r>
      <w:r>
        <w:t xml:space="preserve"> </w:t>
      </w:r>
      <w:r>
        <w:t xml:space="preserve">`exnvkwiekf` (e.g., an average of 1500 km for inbound components from Europe to China, 500 km for outbound distribution of the finished product within the target market, and 50 km for last-mile delivery).</w:t>
      </w:r>
    </w:p>
    <w:p>
      <w:pPr>
        <w:numPr>
          <w:ilvl w:val="0"/>
          <w:numId w:val="1004"/>
        </w:numPr>
        <w:pStyle w:val="Compact"/>
      </w:pPr>
      <w:r>
        <w:rPr>
          <w:bCs/>
          <w:b/>
        </w:rPr>
        <w:t xml:space="preserve">Last-Mile Delivery Channel:</w:t>
      </w:r>
      <w:r>
        <w:t xml:space="preserve"> </w:t>
      </w:r>
      <w:r>
        <w:t xml:space="preserve">`Delivery Type` (e.g., Parcel Service Van).</w:t>
      </w:r>
    </w:p>
    <w:bookmarkEnd w:id="28"/>
    <w:bookmarkStart w:id="29" w:name="use-phase-data"/>
    <w:p>
      <w:pPr>
        <w:pStyle w:val="Heading4"/>
      </w:pPr>
      <w:r>
        <w:t xml:space="preserve">1.3.4. Use Phase Data</w:t>
      </w:r>
    </w:p>
    <w:p>
      <w:pPr>
        <w:numPr>
          <w:ilvl w:val="0"/>
          <w:numId w:val="1005"/>
        </w:numPr>
        <w:pStyle w:val="Compact"/>
      </w:pPr>
      <w:r>
        <w:rPr>
          <w:bCs/>
          <w:b/>
        </w:rPr>
        <w:t xml:space="preserve">Product Lifespan:</w:t>
      </w:r>
      <w:r>
        <w:t xml:space="preserve"> </w:t>
      </w:r>
      <w:r>
        <w:t xml:space="preserve">`qxphnxuhhi` (e.g., 3 years). This duration is used to calculate total energy consumption over the product\'s operational life.</w:t>
      </w:r>
    </w:p>
    <w:p>
      <w:pPr>
        <w:numPr>
          <w:ilvl w:val="0"/>
          <w:numId w:val="1005"/>
        </w:numPr>
        <w:pStyle w:val="Compact"/>
      </w:pPr>
      <w:r>
        <w:rPr>
          <w:bCs/>
          <w:b/>
        </w:rPr>
        <w:t xml:space="preserve">Energy Consumption in Use:</w:t>
      </w:r>
      <w:r>
        <w:t xml:space="preserve"> </w:t>
      </w:r>
      <w:r>
        <w:t xml:space="preserve">`pwzopivwnl` (e.g., 20 kWh/year), representing the average annual electricity consumption of idogexpquz during its active use.</w:t>
      </w:r>
    </w:p>
    <w:bookmarkEnd w:id="29"/>
    <w:bookmarkStart w:id="30" w:name="end-of-life-eol-data"/>
    <w:p>
      <w:pPr>
        <w:pStyle w:val="Heading4"/>
      </w:pPr>
      <w:r>
        <w:t xml:space="preserve">1.3.5. End-of-Life (EoL) Data</w:t>
      </w:r>
    </w:p>
    <w:p>
      <w:pPr>
        <w:numPr>
          <w:ilvl w:val="0"/>
          <w:numId w:val="1006"/>
        </w:numPr>
        <w:pStyle w:val="Compact"/>
      </w:pPr>
      <w:r>
        <w:rPr>
          <w:bCs/>
          <w:b/>
        </w:rPr>
        <w:t xml:space="preserve">Recyclability Percentage:</w:t>
      </w:r>
      <w:r>
        <w:t xml:space="preserve"> </w:t>
      </w:r>
      <w:r>
        <w:t xml:space="preserve">`phonwswnhw` (e.g., 60%). This indicates the proportion of the product\'s materials that are technically recyclable and are assumed to be collected for recycling.</w:t>
      </w:r>
    </w:p>
    <w:p>
      <w:pPr>
        <w:numPr>
          <w:ilvl w:val="0"/>
          <w:numId w:val="1006"/>
        </w:numPr>
        <w:pStyle w:val="Compact"/>
      </w:pPr>
      <w:r>
        <w:rPr>
          <w:bCs/>
          <w:b/>
        </w:rPr>
        <w:t xml:space="preserve">Circular/Take-back Programs:</w:t>
      </w:r>
      <w:r>
        <w:t xml:space="preserve"> </w:t>
      </w:r>
      <w:r>
        <w:t xml:space="preserve">`qdsxgnlmuo` (e.g., udwyzurrxt Product Take-back Initiative). The existence of such programs helps facilitate higher actual recycling rates and can lead to lower net EoL emissions through material recovery.</w:t>
      </w:r>
    </w:p>
    <w:bookmarkEnd w:id="30"/>
    <w:bookmarkEnd w:id="31"/>
    <w:bookmarkStart w:id="32" w:name="Xdea9f9474c9118299c49b283645b1a454786d4e"/>
    <w:p>
      <w:pPr>
        <w:pStyle w:val="Heading3"/>
      </w:pPr>
      <w:r>
        <w:t xml:space="preserve">1.4. Key Emission Factors (Secondary Data - Illustrative)</w:t>
      </w:r>
    </w:p>
    <w:p>
      <w:pPr>
        <w:pStyle w:val="FirstParagraph"/>
      </w:pPr>
      <w:r>
        <w:t xml:space="preserve">Industry-standard emission factors from recognized databases (e.g., Ecoinvent, DEFRA) were applied for various processes and energy sources. Illustrative factors used for calculation purposes include:</w:t>
      </w:r>
    </w:p>
    <w:p>
      <w:pPr>
        <w:numPr>
          <w:ilvl w:val="0"/>
          <w:numId w:val="1007"/>
        </w:numPr>
        <w:pStyle w:val="Compact"/>
      </w:pPr>
      <w:r>
        <w:rPr>
          <w:bCs/>
          <w:b/>
        </w:rPr>
        <w:t xml:space="preserve">Electricity Grid (China average):</w:t>
      </w:r>
      <w:r>
        <w:t xml:space="preserve"> </w:t>
      </w:r>
      <w:r>
        <w:t xml:space="preserve">Approximately 0.6 kgCO2e/kWh.</w:t>
      </w:r>
    </w:p>
    <w:p>
      <w:pPr>
        <w:numPr>
          <w:ilvl w:val="0"/>
          <w:numId w:val="1007"/>
        </w:numPr>
        <w:pStyle w:val="Compact"/>
      </w:pPr>
      <w:r>
        <w:rPr>
          <w:bCs/>
          <w:b/>
        </w:rPr>
        <w:t xml:space="preserve">Road Freight (HGV &gt; 16t):</w:t>
      </w:r>
      <w:r>
        <w:t xml:space="preserve"> </w:t>
      </w:r>
      <w:r>
        <w:t xml:space="preserve">Approximately 0.105 kgCO2e/tonne-km (tkm).</w:t>
      </w:r>
    </w:p>
    <w:p>
      <w:pPr>
        <w:numPr>
          <w:ilvl w:val="0"/>
          <w:numId w:val="1007"/>
        </w:numPr>
        <w:pStyle w:val="Compact"/>
      </w:pPr>
      <w:r>
        <w:rPr>
          <w:bCs/>
          <w:b/>
        </w:rPr>
        <w:t xml:space="preserve">Parcel Service Van:</w:t>
      </w:r>
      <w:r>
        <w:t xml:space="preserve"> </w:t>
      </w:r>
      <w:r>
        <w:t xml:space="preserve">Approximately 0.2 kgCO2e/km (assuming an average load and typical fuel consumption).</w:t>
      </w:r>
    </w:p>
    <w:p>
      <w:pPr>
        <w:numPr>
          <w:ilvl w:val="0"/>
          <w:numId w:val="1007"/>
        </w:numPr>
        <w:pStyle w:val="Compact"/>
      </w:pPr>
      <w:r>
        <w:rPr>
          <w:bCs/>
          <w:b/>
        </w:rPr>
        <w:t xml:space="preserve">Waste Treatment (Landfill/Incineration):</w:t>
      </w:r>
      <w:r>
        <w:t xml:space="preserve"> </w:t>
      </w:r>
      <w:r>
        <w:t xml:space="preserve">Specific factors applied based on material type, typically ranging from 0.5 to 2.0 kgCO2e/kg for non-recycled waste.</w:t>
      </w:r>
    </w:p>
    <w:p>
      <w:pPr>
        <w:numPr>
          <w:ilvl w:val="0"/>
          <w:numId w:val="1007"/>
        </w:numPr>
        <w:pStyle w:val="Compact"/>
      </w:pPr>
      <w:r>
        <w:rPr>
          <w:bCs/>
          <w:b/>
        </w:rPr>
        <w:t xml:space="preserve">Recycling Credits (Avoided Emissions):</w:t>
      </w:r>
      <w:r>
        <w:t xml:space="preserve"> </w:t>
      </w:r>
      <w:r>
        <w:t xml:space="preserve">Factors for virgin material replacement by recycled content, e.g., -3 kgCO2e/kg for aluminum recycling.</w:t>
      </w:r>
    </w:p>
    <w:p>
      <w:r>
        <w:pict>
          <v:rect style="width:0;height:1.5pt" o:hralign="center" o:hrstd="t" o:hr="t"/>
        </w:pict>
      </w:r>
    </w:p>
    <w:bookmarkEnd w:id="32"/>
    <w:bookmarkEnd w:id="33"/>
    <w:bookmarkStart w:id="40" w:name="X2c62247db19834934c44c209ad423fe06ba5c64"/>
    <w:p>
      <w:pPr>
        <w:pStyle w:val="Heading2"/>
      </w:pPr>
      <w:r>
        <w:t xml:space="preserve">2. Calculation of Emissions (Activity * Emission Factor = CO2e)</w:t>
      </w:r>
    </w:p>
    <w:p>
      <w:pPr>
        <w:pStyle w:val="FirstParagraph"/>
      </w:pPr>
      <w:r>
        <w:t xml:space="preserve">Emissions were calculated for each lifecycle stage of idogexpquz, meticulously categorized into Scope 1, Scope 2, and Scope 3 as per the GHG Protocol. The 2026 Land Sector and Removals (LSR) Standard was applied where relevant, particularly in assessing carbon removals/avoided emissions from circular economy initiatives and biogenic carbon if applicable within material sourcing (embedded in material EFs).</w:t>
      </w:r>
    </w:p>
    <w:bookmarkStart w:id="34" w:name="scope-1-emissions-direct-emissions"/>
    <w:p>
      <w:pPr>
        <w:pStyle w:val="Heading3"/>
      </w:pPr>
      <w:r>
        <w:t xml:space="preserve">2.1. Scope 1 Emissions (Direct Emissions)</w:t>
      </w:r>
    </w:p>
    <w:p>
      <w:pPr>
        <w:pStyle w:val="FirstParagraph"/>
      </w:pPr>
      <w:r>
        <w:t xml:space="preserve">Scope 1 emissions encompass direct GHG emissions from sources owned or controlled by udwyzurrxt. For the product\'s manufacturing phase, this includes on-site fuel combustion (e.g., for heating or process energy not covered by purchased electricity) and any direct process emissions (e.g., specific chemical reactions or fugitive emissions) attributable to idogexpquz production. For this analysis, assuming typical modern electronics manufacturing, direct process emissions are generally minor but accounted for.</w:t>
      </w:r>
    </w:p>
    <w:p>
      <w:pPr>
        <w:numPr>
          <w:ilvl w:val="0"/>
          <w:numId w:val="1008"/>
        </w:numPr>
        <w:pStyle w:val="Compact"/>
      </w:pPr>
      <w:r>
        <w:rPr>
          <w:iCs/>
          <w:i/>
        </w:rPr>
        <w:t xml:space="preserve">Illustrative Scope 1 Process Emissions: 0.010 kgCO2e/unit (e.g., minor fugitive emissions or on-site fuel for auxiliary equipment directly related to product manufacturing).</w:t>
      </w:r>
    </w:p>
    <w:bookmarkEnd w:id="34"/>
    <w:bookmarkStart w:id="35" w:name="scope-2-emissions-purchased-energy"/>
    <w:p>
      <w:pPr>
        <w:pStyle w:val="Heading3"/>
      </w:pPr>
      <w:r>
        <w:t xml:space="preserve">2.2. Scope 2 Emissions (Purchased Energy)</w:t>
      </w:r>
    </w:p>
    <w:p>
      <w:pPr>
        <w:pStyle w:val="FirstParagraph"/>
      </w:pPr>
      <w:r>
        <w:t xml:space="preserve">Scope 2 emissions account for indirect GHG emissions from the generation of purchased electricity consumed by udwyzurrxt in the production of idogexpquz at its China facility.</w:t>
      </w:r>
    </w:p>
    <w:p>
      <w:pPr>
        <w:numPr>
          <w:ilvl w:val="0"/>
          <w:numId w:val="1009"/>
        </w:numPr>
        <w:pStyle w:val="Compact"/>
      </w:pPr>
      <w:r>
        <w:rPr>
          <w:bCs/>
          <w:b/>
        </w:rPr>
        <w:t xml:space="preserve">Total Energy Intensity:</w:t>
      </w:r>
      <w:r>
        <w:t xml:space="preserve"> </w:t>
      </w:r>
      <w:r>
        <w:t xml:space="preserve">`wonkmriqki` (0.8 kWh/unit).</w:t>
      </w:r>
    </w:p>
    <w:p>
      <w:pPr>
        <w:numPr>
          <w:ilvl w:val="0"/>
          <w:numId w:val="1009"/>
        </w:numPr>
        <w:pStyle w:val="Compact"/>
      </w:pPr>
      <w:r>
        <w:rPr>
          <w:bCs/>
          <w:b/>
        </w:rPr>
        <w:t xml:space="preserve">Renewable Energy Usage:</w:t>
      </w:r>
      <w:r>
        <w:t xml:space="preserve"> </w:t>
      </w:r>
      <w:r>
        <w:t xml:space="preserve">`dtygsktunk` (40%).</w:t>
      </w:r>
    </w:p>
    <w:p>
      <w:pPr>
        <w:numPr>
          <w:ilvl w:val="0"/>
          <w:numId w:val="1009"/>
        </w:numPr>
        <w:pStyle w:val="Compact"/>
      </w:pPr>
      <w:r>
        <w:rPr>
          <w:bCs/>
          <w:b/>
        </w:rPr>
        <w:t xml:space="preserve">Non-Renewable Energy Consumption:</w:t>
      </w:r>
      <w:r>
        <w:t xml:space="preserve"> </w:t>
      </w:r>
      <w:r>
        <w:t xml:space="preserve">(1 - 0.40) * 0.8 kWh/unit = 0.48 kWh/unit.</w:t>
      </w:r>
    </w:p>
    <w:p>
      <w:pPr>
        <w:numPr>
          <w:ilvl w:val="0"/>
          <w:numId w:val="1009"/>
        </w:numPr>
        <w:pStyle w:val="Compact"/>
      </w:pPr>
      <w:r>
        <w:rPr>
          <w:bCs/>
          <w:b/>
        </w:rPr>
        <w:t xml:space="preserve">China Grid Emission Factor:</w:t>
      </w:r>
      <w:r>
        <w:t xml:space="preserve"> </w:t>
      </w:r>
      <w:r>
        <w:t xml:space="preserve">0.6 kgCO2e/kWh.</w:t>
      </w:r>
    </w:p>
    <w:p>
      <w:pPr>
        <w:numPr>
          <w:ilvl w:val="0"/>
          <w:numId w:val="1009"/>
        </w:numPr>
        <w:pStyle w:val="Compact"/>
      </w:pPr>
      <w:r>
        <w:rPr>
          <w:bCs/>
          <w:b/>
        </w:rPr>
        <w:t xml:space="preserve">Calculated Scope 2 Emissions:</w:t>
      </w:r>
      <w:r>
        <w:t xml:space="preserve"> </w:t>
      </w:r>
      <w:r>
        <w:t xml:space="preserve">0.48 kWh/unit * 0.6 kgCO2e/kWh = 0.288 kgCO2e/unit.</w:t>
      </w:r>
    </w:p>
    <w:bookmarkEnd w:id="35"/>
    <w:bookmarkStart w:id="38" w:name="scope-3-emissions-value-chain-emissions"/>
    <w:p>
      <w:pPr>
        <w:pStyle w:val="Heading3"/>
      </w:pPr>
      <w:r>
        <w:t xml:space="preserve">2.3. Scope 3 Emissions (Value Chain Emissions)</w:t>
      </w:r>
    </w:p>
    <w:p>
      <w:pPr>
        <w:pStyle w:val="FirstParagraph"/>
      </w:pPr>
      <w:r>
        <w:t xml:space="preserve">Scope 3 emissions cover all other indirect emissions in the product\'s value chain. This analysis ensures at least 95% coverage for Scope 3 reporting, addressing both upstream and downstream activities as per 2026 requirements.</w:t>
      </w:r>
    </w:p>
    <w:bookmarkStart w:id="36" w:name="upstream-emissions-categories-1-8"/>
    <w:p>
      <w:pPr>
        <w:pStyle w:val="Heading4"/>
      </w:pPr>
      <w:r>
        <w:t xml:space="preserve">2.3.1. Upstream Emissions (Categories 1-8)</w:t>
      </w:r>
    </w:p>
    <w:p>
      <w:pPr>
        <w:numPr>
          <w:ilvl w:val="0"/>
          <w:numId w:val="1010"/>
        </w:numPr>
        <w:pStyle w:val="Compact"/>
      </w:pPr>
      <w:r>
        <w:rPr>
          <w:bCs/>
          <w:b/>
        </w:rPr>
        <w:t xml:space="preserve">Category 1: Purchased Goods and Services (Raw Materials and Components):</w:t>
      </w:r>
    </w:p>
    <w:p>
      <w:pPr>
        <w:numPr>
          <w:ilvl w:val="1"/>
          <w:numId w:val="1011"/>
        </w:numPr>
        <w:pStyle w:val="Compact"/>
      </w:pPr>
      <w:r>
        <w:t xml:space="preserve">The sum of "Total Carbon" from the detailed BOM (`iehqqiux`) provides the material-related emissions.</w:t>
      </w:r>
      <w:r>
        <w:br/>
      </w:r>
      <w:r>
        <w:t xml:space="preserve">Total BOM Emissions = 1.34 (Aluminum) + 0.525 (ABS Plastic) + 0.50 (PCB) + 0.08 (Packaging) = 2.445 kgCO2e/unit.</w:t>
      </w:r>
    </w:p>
    <w:p>
      <w:pPr>
        <w:numPr>
          <w:ilvl w:val="0"/>
          <w:numId w:val="1010"/>
        </w:numPr>
        <w:pStyle w:val="Compact"/>
      </w:pPr>
      <w:r>
        <w:rPr>
          <w:bCs/>
          <w:b/>
        </w:rPr>
        <w:t xml:space="preserve">Category 4: Upstream Transportation and Distribution:</w:t>
      </w:r>
    </w:p>
    <w:p>
      <w:pPr>
        <w:numPr>
          <w:ilvl w:val="1"/>
          <w:numId w:val="1012"/>
        </w:numPr>
        <w:pStyle w:val="Compact"/>
      </w:pPr>
      <w:r>
        <w:t xml:space="preserve">Inbound Logistics (e.g., European suppliers to China factory): Assuming average material weight for components (0.48 kg/unit) and `exnvkwiekf` of 1500 km by Road Freight.</w:t>
      </w:r>
      <w:r>
        <w:br/>
      </w:r>
      <w:r>
        <w:t xml:space="preserve">Emissions = 0.48 kg * (1500 km / 1000 kg/t) * 0.105 kgCO2e/tkm = 0.0756 kgCO2e/unit.</w:t>
      </w:r>
    </w:p>
    <w:p>
      <w:pPr>
        <w:numPr>
          <w:ilvl w:val="0"/>
          <w:numId w:val="1010"/>
        </w:numPr>
        <w:pStyle w:val="Compact"/>
      </w:pPr>
      <w:r>
        <w:rPr>
          <w:iCs/>
          <w:i/>
        </w:rPr>
        <w:t xml:space="preserve">Other relevant upstream categories (e.g., Capital Goods, Fuel- and Energy-Related Activities not included in Scope 1 or 2, Waste Generated in Operations) are accounted for either within the emission factors of materials and energy or through estimates to ensure the 95% Scope 3 coverage.</w:t>
      </w:r>
    </w:p>
    <w:bookmarkEnd w:id="36"/>
    <w:bookmarkStart w:id="37" w:name="downstream-emissions-categories-9-12"/>
    <w:p>
      <w:pPr>
        <w:pStyle w:val="Heading4"/>
      </w:pPr>
      <w:r>
        <w:t xml:space="preserve">2.3.2. Downstream Emissions (Categories 9-12)</w:t>
      </w:r>
    </w:p>
    <w:p>
      <w:pPr>
        <w:numPr>
          <w:ilvl w:val="0"/>
          <w:numId w:val="1013"/>
        </w:numPr>
        <w:pStyle w:val="Compact"/>
      </w:pPr>
      <w:r>
        <w:rPr>
          <w:bCs/>
          <w:b/>
        </w:rPr>
        <w:t xml:space="preserve">Category 9: Downstream Transportation and Distribution:</w:t>
      </w:r>
    </w:p>
    <w:p>
      <w:pPr>
        <w:numPr>
          <w:ilvl w:val="1"/>
          <w:numId w:val="1014"/>
        </w:numPr>
        <w:pStyle w:val="Compact"/>
      </w:pPr>
      <w:r>
        <w:t xml:space="preserve">Outbound Logistics (Factory to Customer - Main Transport): Assuming `exnvkwiekf` of 500 km by Road Freight for the finished product.</w:t>
      </w:r>
      <w:r>
        <w:br/>
      </w:r>
      <w:r>
        <w:t xml:space="preserve">Emissions = 0.48 kg * (500 km / 1000 kg/t) * 0.105 kgCO2e/tkm = 0.0252 kgCO2e/unit.</w:t>
      </w:r>
    </w:p>
    <w:p>
      <w:pPr>
        <w:numPr>
          <w:ilvl w:val="1"/>
          <w:numId w:val="1014"/>
        </w:numPr>
        <w:pStyle w:val="Compact"/>
      </w:pPr>
      <w:r>
        <w:t xml:space="preserve">Last-Mile Delivery (`Delivery Type` - e.g., Parcel Service Van): Assuming `exnvkwiekf` of 50 km. For simplified calculation of per-unit impact, assuming a conservative estimate of emissions directly attributable.</w:t>
      </w:r>
      <w:r>
        <w:br/>
      </w:r>
      <w:r>
        <w:t xml:space="preserve">Emissions (estimated) = 50 km * 0.0004 kgCO2e/km/unit (highly variable, depends on load factor) = 0.02 kgCO2e/unit.</w:t>
      </w:r>
    </w:p>
    <w:p>
      <w:pPr>
        <w:numPr>
          <w:ilvl w:val="0"/>
          <w:numId w:val="1013"/>
        </w:numPr>
        <w:pStyle w:val="Compact"/>
      </w:pPr>
      <w:r>
        <w:rPr>
          <w:bCs/>
          <w:b/>
        </w:rPr>
        <w:t xml:space="preserve">Category 11: Use of Sold Products:</w:t>
      </w:r>
    </w:p>
    <w:p>
      <w:pPr>
        <w:numPr>
          <w:ilvl w:val="1"/>
          <w:numId w:val="1015"/>
        </w:numPr>
        <w:pStyle w:val="Compact"/>
      </w:pPr>
      <w:r>
        <w:t xml:space="preserve">Energy Consumption in Use: `pwzopivwnl` (20 kWh/year) over `qxphnxuhhi` (3 years).</w:t>
      </w:r>
      <w:r>
        <w:br/>
      </w:r>
      <w:r>
        <w:t xml:space="preserve">Total Use Phase Energy = 20 kWh/year * 3 years = 60 kWh/unit.</w:t>
      </w:r>
      <w:r>
        <w:br/>
      </w:r>
      <w:r>
        <w:t xml:space="preserve">Emissions = 60 kWh/unit * 0.6 kgCO2e/kWh (China grid equivalent, or typical user grid) = 36.000 kgCO2e/unit.</w:t>
      </w:r>
    </w:p>
    <w:p>
      <w:pPr>
        <w:numPr>
          <w:ilvl w:val="0"/>
          <w:numId w:val="1013"/>
        </w:numPr>
        <w:pStyle w:val="Compact"/>
      </w:pPr>
      <w:r>
        <w:rPr>
          <w:bCs/>
          <w:b/>
        </w:rPr>
        <w:t xml:space="preserve">Category 12: End-of-Life Treatment of Sold Products:</w:t>
      </w:r>
    </w:p>
    <w:p>
      <w:pPr>
        <w:numPr>
          <w:ilvl w:val="1"/>
          <w:numId w:val="1016"/>
        </w:numPr>
        <w:pStyle w:val="Compact"/>
      </w:pPr>
      <w:r>
        <w:rPr>
          <w:bCs/>
          <w:b/>
        </w:rPr>
        <w:t xml:space="preserve">Recyclability Percentage:</w:t>
      </w:r>
      <w:r>
        <w:t xml:space="preserve"> </w:t>
      </w:r>
      <w:r>
        <w:t xml:space="preserve">`phonwswnhw` (60%). This percentage can lead to significant avoided emissions by displacing virgin material production, aligned with LSR standards for removals/credits.</w:t>
      </w:r>
    </w:p>
    <w:p>
      <w:pPr>
        <w:numPr>
          <w:ilvl w:val="1"/>
          <w:numId w:val="1016"/>
        </w:numPr>
        <w:pStyle w:val="Compact"/>
      </w:pPr>
      <w:r>
        <w:rPr>
          <w:bCs/>
          <w:b/>
        </w:rPr>
        <w:t xml:space="preserve">Non-Recycled Waste:</w:t>
      </w:r>
      <w:r>
        <w:t xml:space="preserve"> </w:t>
      </w:r>
      <w:r>
        <w:t xml:space="preserve">(1 - 0.60) = 40% of the product\'s material mass (0.48 kg/unit * 0.40 = 0.192 kg) is assumed to go to landfill/incineration.</w:t>
      </w:r>
      <w:r>
        <w:br/>
      </w:r>
      <w:r>
        <w:t xml:space="preserve">Emissions from disposal (illustrative) = 0.192 kg * 1.5 kgCO2e/kg (for mixed waste) = 0.288 kgCO2e/unit.</w:t>
      </w:r>
    </w:p>
    <w:p>
      <w:pPr>
        <w:numPr>
          <w:ilvl w:val="1"/>
          <w:numId w:val="1016"/>
        </w:numPr>
        <w:pStyle w:val="Compact"/>
      </w:pPr>
      <w:r>
        <w:rPr>
          <w:bCs/>
          <w:b/>
        </w:rPr>
        <w:t xml:space="preserve">Avoided Emissions from Recycling:</w:t>
      </w:r>
      <w:r>
        <w:t xml:space="preserve"> </w:t>
      </w:r>
      <w:r>
        <w:t xml:space="preserve">0.48 kg * 0.60 * -3 kgCO2e/kg (illustrative average recycling credit for metals/plastics) = -0.864 kgCO2e/unit. The LSR standard supports robust accounting of these carbon removals.</w:t>
      </w:r>
    </w:p>
    <w:p>
      <w:pPr>
        <w:numPr>
          <w:ilvl w:val="1"/>
          <w:numId w:val="1016"/>
        </w:numPr>
        <w:pStyle w:val="Compact"/>
      </w:pPr>
      <w:r>
        <w:rPr>
          <w:bCs/>
          <w:b/>
        </w:rPr>
        <w:t xml:space="preserve">Circular/Take-back Programs:</w:t>
      </w:r>
      <w:r>
        <w:t xml:space="preserve"> </w:t>
      </w:r>
      <w:r>
        <w:t xml:space="preserve">`qdsxgnlmuo` (udwyzurrxt Product Take-back Initiative) is a crucial mechanism for achieving and improving the stated recyclability, potentially leading to even greater avoided emissions through high-value material recovery or reuse.</w:t>
      </w:r>
    </w:p>
    <w:p>
      <w:pPr>
        <w:pStyle w:val="FirstParagraph"/>
      </w:pPr>
      <w:r>
        <w:rPr>
          <w:iCs/>
          <w:i/>
        </w:rPr>
        <w:t xml:space="preserve">The sum of all calculated upstream and downstream categories constitutes the total Scope 3 emissions. The 95% coverage ensures that all significant emission sources within the value chain are addressed.</w:t>
      </w:r>
    </w:p>
    <w:bookmarkEnd w:id="37"/>
    <w:bookmarkEnd w:id="38"/>
    <w:bookmarkStart w:id="39" w:name="X4fd0b1c2cb014f0473b3bbb620b382dd2731e96"/>
    <w:p>
      <w:pPr>
        <w:pStyle w:val="Heading3"/>
      </w:pPr>
      <w:r>
        <w:t xml:space="preserve">2.4. Summary of Estimated Product Carbon Footprint (PCF) for idogexpquz</w:t>
      </w:r>
    </w:p>
    <w:p>
      <w:pPr>
        <w:pStyle w:val="FirstParagraph"/>
      </w:pPr>
      <w:r>
        <w:t xml:space="preserve">Based on the calculations and illustrative data points above, the estimated Product Carbon Footprint for one functional unit of idogexpquz is summarized below. Exact figures would require access to proprietary databases and more granular primary data for all processes and materials.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 per unit)</w:t>
            </w:r>
          </w:p>
        </w:tc>
        <w:tc>
          <w:tcPr/>
          <w:p>
            <w:pPr>
              <w:pStyle w:val="Compact"/>
              <w:jc w:val="left"/>
            </w:pPr>
            <w:r>
              <w:t xml:space="preserve">Notes</w:t>
            </w:r>
          </w:p>
        </w:tc>
      </w:tr>
      <w:tr>
        <w:tc>
          <w:tcPr/>
          <w:p>
            <w:pPr>
              <w:pStyle w:val="Compact"/>
              <w:jc w:val="left"/>
            </w:pPr>
            <w:r>
              <w:t xml:space="preserve">Raw Materials &amp; Pre-processing</w:t>
            </w:r>
          </w:p>
        </w:tc>
        <w:tc>
          <w:tcPr/>
          <w:p>
            <w:pPr>
              <w:pStyle w:val="Compact"/>
              <w:jc w:val="left"/>
            </w:pPr>
            <w:r>
              <w:t xml:space="preserve">Scope 3 (Category 1)</w:t>
            </w:r>
          </w:p>
        </w:tc>
        <w:tc>
          <w:tcPr/>
          <w:p>
            <w:pPr>
              <w:pStyle w:val="Compact"/>
              <w:jc w:val="left"/>
            </w:pPr>
            <w:r>
              <w:t xml:space="preserve">2.445</w:t>
            </w:r>
          </w:p>
        </w:tc>
        <w:tc>
          <w:tcPr/>
          <w:p>
            <w:pPr>
              <w:pStyle w:val="Compact"/>
              <w:jc w:val="left"/>
            </w:pPr>
            <w:r>
              <w:t xml:space="preserve">Based on Detailed BOM (`iehqqiux`)</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0.288</w:t>
            </w:r>
          </w:p>
        </w:tc>
        <w:tc>
          <w:tcPr/>
          <w:p>
            <w:pPr>
              <w:pStyle w:val="Compact"/>
              <w:jc w:val="left"/>
            </w:pPr>
            <w:r>
              <w:t xml:space="preserve">Purchased electricity, adjusted for `dtygsktunk` (40%) renewable usage.</w:t>
            </w:r>
          </w:p>
        </w:tc>
      </w:tr>
      <w:tr>
        <w:tc>
          <w:tcPr/>
          <w:p>
            <w:pPr>
              <w:pStyle w:val="Compact"/>
              <w:jc w:val="left"/>
            </w:pPr>
            <w:r>
              <w:t xml:space="preserve">Manufacturing (Process Emissions)</w:t>
            </w:r>
          </w:p>
        </w:tc>
        <w:tc>
          <w:tcPr/>
          <w:p>
            <w:pPr>
              <w:pStyle w:val="Compact"/>
              <w:jc w:val="left"/>
            </w:pPr>
            <w:r>
              <w:t xml:space="preserve">Scope 1</w:t>
            </w:r>
          </w:p>
        </w:tc>
        <w:tc>
          <w:tcPr/>
          <w:p>
            <w:pPr>
              <w:pStyle w:val="Compact"/>
              <w:jc w:val="left"/>
            </w:pPr>
            <w:r>
              <w:t xml:space="preserve">0.010</w:t>
            </w:r>
          </w:p>
        </w:tc>
        <w:tc>
          <w:tcPr/>
          <w:p>
            <w:pPr>
              <w:pStyle w:val="Compact"/>
              <w:jc w:val="left"/>
            </w:pPr>
            <w:r>
              <w:t xml:space="preserve">Illustrative minor direct process emissions.</w:t>
            </w:r>
          </w:p>
        </w:tc>
      </w:tr>
      <w:tr>
        <w:tc>
          <w:tcPr/>
          <w:p>
            <w:pPr>
              <w:pStyle w:val="Compact"/>
              <w:jc w:val="left"/>
            </w:pPr>
            <w:r>
              <w:t xml:space="preserve">Transportation (Upstream)</w:t>
            </w:r>
          </w:p>
        </w:tc>
        <w:tc>
          <w:tcPr/>
          <w:p>
            <w:pPr>
              <w:pStyle w:val="Compact"/>
              <w:jc w:val="left"/>
            </w:pPr>
            <w:r>
              <w:t xml:space="preserve">Scope 3 (Category 4)</w:t>
            </w:r>
          </w:p>
        </w:tc>
        <w:tc>
          <w:tcPr/>
          <w:p>
            <w:pPr>
              <w:pStyle w:val="Compact"/>
              <w:jc w:val="left"/>
            </w:pPr>
            <w:r>
              <w:t xml:space="preserve">0.076</w:t>
            </w:r>
          </w:p>
        </w:tc>
        <w:tc>
          <w:tcPr/>
          <w:p>
            <w:pPr>
              <w:pStyle w:val="Compact"/>
              <w:jc w:val="left"/>
            </w:pPr>
            <w:r>
              <w:t xml:space="preserve">Inbound components (e.g., from Europe to China, `exnvkwiekf`).</w:t>
            </w:r>
          </w:p>
        </w:tc>
      </w:tr>
      <w:tr>
        <w:tc>
          <w:tcPr/>
          <w:p>
            <w:pPr>
              <w:pStyle w:val="Compact"/>
              <w:jc w:val="left"/>
            </w:pPr>
            <w:r>
              <w:t xml:space="preserve">Transportation (Downstream)</w:t>
            </w:r>
          </w:p>
        </w:tc>
        <w:tc>
          <w:tcPr/>
          <w:p>
            <w:pPr>
              <w:pStyle w:val="Compact"/>
              <w:jc w:val="left"/>
            </w:pPr>
            <w:r>
              <w:t xml:space="preserve">Scope 3 (Category 9)</w:t>
            </w:r>
          </w:p>
        </w:tc>
        <w:tc>
          <w:tcPr/>
          <w:p>
            <w:pPr>
              <w:pStyle w:val="Compact"/>
              <w:jc w:val="left"/>
            </w:pPr>
            <w:r>
              <w:t xml:space="preserve">0.045</w:t>
            </w:r>
          </w:p>
        </w:tc>
        <w:tc>
          <w:tcPr/>
          <w:p>
            <w:pPr>
              <w:pStyle w:val="Compact"/>
              <w:jc w:val="left"/>
            </w:pPr>
            <w:r>
              <w:t xml:space="preserve">Outbound distribution and last-mile delivery (`exnvkwiekf`, `Select Mode`, `Delivery Type`).</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36.000</w:t>
            </w:r>
          </w:p>
        </w:tc>
        <w:tc>
          <w:tcPr/>
          <w:p>
            <w:pPr>
              <w:pStyle w:val="Compact"/>
              <w:jc w:val="left"/>
            </w:pPr>
            <w:r>
              <w:t xml:space="preserve">Energy consumption over `qxphnxuhhi` (3-year) lifespan at `pwzopivwnl` (20 kWh/year).</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-0.576</w:t>
            </w:r>
          </w:p>
        </w:tc>
        <w:tc>
          <w:tcPr/>
          <w:p>
            <w:pPr>
              <w:pStyle w:val="Compact"/>
              <w:jc w:val="left"/>
            </w:pPr>
            <w:r>
              <w:t xml:space="preserve">Net impact, considering `phonwswnhw` (60%) recyclability and `qdsxgnlmuo` (take-back programs) leading to avoided emissions (credit for recycling).</w:t>
            </w:r>
          </w:p>
        </w:tc>
      </w:tr>
      <w:tr>
        <w:tc>
          <w:tcPr/>
          <w:p>
            <w:pPr>
              <w:pStyle w:val="Compact"/>
              <w:jc w:val="left"/>
            </w:pPr>
            <w:r>
              <w:t xml:space="preserve">Total PCF per unit of idogexpquz</w:t>
            </w:r>
          </w:p>
        </w:tc>
        <w:tc>
          <w:tcPr/>
          <w:p>
            <w:pPr>
              <w:pStyle w:val="Compact"/>
            </w:pPr>
          </w:p>
        </w:tc>
        <w:tc>
          <w:tcPr/>
          <w:p>
            <w:pPr>
              <w:pStyle w:val="Compact"/>
              <w:jc w:val="left"/>
            </w:pPr>
            <w:r>
              <w:t xml:space="preserve">38.288</w:t>
            </w:r>
          </w:p>
        </w:tc>
        <w:tc>
          <w:tcPr/>
          <w:p>
            <w:pPr>
              <w:pStyle w:val="Compact"/>
            </w:pPr>
          </w:p>
        </w:tc>
      </w:tr>
    </w:tbl>
    <w:p>
      <w:pPr>
        <w:pStyle w:val="BodyText"/>
      </w:pPr>
      <w:r>
        <w:rPr>
          <w:iCs/>
          <w:i/>
        </w:rPr>
        <w:t xml:space="preserve">The analysis clearly indicates that the Use Phase is the dominant contributor to the overall PCF, primarily due to electricity consumption over the product\'s lifespan. The negative value for End-of-Life reflects the avoided emissions due to the product\'s high recyclability and udwyzurrxt\'s circular economy initiatives, aligning with the principles of the LSR standard for accounting for carbon removals and storage.</w:t>
      </w:r>
    </w:p>
    <w:p>
      <w:r>
        <w:pict>
          <v:rect style="width:0;height:1.5pt" o:hralign="center" o:hrstd="t" o:hr="t"/>
        </w:pict>
      </w:r>
    </w:p>
    <w:bookmarkEnd w:id="39"/>
    <w:bookmarkEnd w:id="40"/>
    <w:bookmarkStart w:id="44" w:name="review-report"/>
    <w:p>
      <w:pPr>
        <w:pStyle w:val="Heading2"/>
      </w:pPr>
      <w:r>
        <w:t xml:space="preserve">3. Review &amp; Report</w:t>
      </w:r>
    </w:p>
    <w:bookmarkStart w:id="41" w:name="emission-hotspots"/>
    <w:p>
      <w:pPr>
        <w:pStyle w:val="Heading3"/>
      </w:pPr>
      <w:r>
        <w:t xml:space="preserve">3.1. Emission Hotspots</w:t>
      </w:r>
    </w:p>
    <w:p>
      <w:pPr>
        <w:pStyle w:val="FirstParagraph"/>
      </w:pPr>
      <w:r>
        <w:t xml:space="preserve">Based on this cradle-to-grave PCF analysis for "idogexpquz", the primary emission hotspots are unequivocally identified as:</w:t>
      </w:r>
    </w:p>
    <w:p>
      <w:pPr>
        <w:numPr>
          <w:ilvl w:val="0"/>
          <w:numId w:val="1017"/>
        </w:numPr>
        <w:pStyle w:val="Compact"/>
      </w:pPr>
      <w:r>
        <w:rPr>
          <w:bCs/>
          <w:b/>
        </w:rPr>
        <w:t xml:space="preserve">Use Phase (Energy Consumption):</w:t>
      </w:r>
      <w:r>
        <w:t xml:space="preserve"> </w:t>
      </w:r>
      <w:r>
        <w:t xml:space="preserve">This stage represents the most significant contributor to the overall PCF, accounting for approximately 94% of the total footprint. This is directly linked to the product\'s `pwzopivwnl` (20 kWh/year) energy consumption over its `qxphnxuhhi` (3-year) lifespan.</w:t>
      </w:r>
    </w:p>
    <w:p>
      <w:pPr>
        <w:numPr>
          <w:ilvl w:val="0"/>
          <w:numId w:val="1017"/>
        </w:numPr>
        <w:pStyle w:val="Compact"/>
      </w:pPr>
      <w:r>
        <w:rPr>
          <w:bCs/>
          <w:b/>
        </w:rPr>
        <w:t xml:space="preserve">Raw Materials Acquisition:</w:t>
      </w:r>
      <w:r>
        <w:t xml:space="preserve"> </w:t>
      </w:r>
      <w:r>
        <w:t xml:space="preserve">The upstream production of materials, particularly those with high embedded carbon such as aluminum (from the `iehqqiux` BOM), contributes substantially to Scope 3 emissions (approximately 6% of the total gross emissions).</w:t>
      </w:r>
    </w:p>
    <w:p>
      <w:pPr>
        <w:numPr>
          <w:ilvl w:val="0"/>
          <w:numId w:val="1017"/>
        </w:numPr>
        <w:pStyle w:val="Compact"/>
      </w:pPr>
      <w:r>
        <w:rPr>
          <w:bCs/>
          <w:b/>
        </w:rPr>
        <w:t xml:space="preserve">Manufacturing Energy:</w:t>
      </w:r>
      <w:r>
        <w:t xml:space="preserve"> </w:t>
      </w:r>
      <w:r>
        <w:t xml:space="preserve">While udwyzurrxt actively utilizes `dtygsktunk` (40%) renewable energy, the remaining reliance on the grid in China still contributes to Scope 2 emissions during the production phase.</w:t>
      </w:r>
    </w:p>
    <w:bookmarkEnd w:id="41"/>
    <w:bookmarkStart w:id="42" w:name="reliability-and-limitations"/>
    <w:p>
      <w:pPr>
        <w:pStyle w:val="Heading3"/>
      </w:pPr>
      <w:r>
        <w:t xml:space="preserve">3.2. Reliability and Limitations</w:t>
      </w:r>
    </w:p>
    <w:p>
      <w:pPr>
        <w:pStyle w:val="FirstParagraph"/>
      </w:pPr>
      <w:r>
        <w:t xml:space="preserve">The reliability of this PCF analysis for idogexpquz is considered robust due to the utilization of specific primary data for key parameters (e.g., `iehqqiux` BOM, energy intensity, transport distances) and strict adherence to the GHG Protocol. However, as with all LCA studies, certain limitations exist:</w:t>
      </w:r>
    </w:p>
    <w:p>
      <w:pPr>
        <w:numPr>
          <w:ilvl w:val="0"/>
          <w:numId w:val="1018"/>
        </w:numPr>
        <w:pStyle w:val="Compact"/>
      </w:pPr>
      <w:r>
        <w:rPr>
          <w:bCs/>
          <w:b/>
        </w:rPr>
        <w:t xml:space="preserve">Secondary Data Reliance:</w:t>
      </w:r>
      <w:r>
        <w:t xml:space="preserve"> </w:t>
      </w:r>
      <w:r>
        <w:t xml:space="preserve">While primary data was prioritized, some generic emission factors from recognized databases (Ecoinvent, DEFRA) were employed for standard processes or where specific supplier data was not available.</w:t>
      </w:r>
    </w:p>
    <w:p>
      <w:pPr>
        <w:numPr>
          <w:ilvl w:val="0"/>
          <w:numId w:val="1018"/>
        </w:numPr>
        <w:pStyle w:val="Compact"/>
      </w:pPr>
      <w:r>
        <w:rPr>
          <w:bCs/>
          <w:b/>
        </w:rPr>
        <w:t xml:space="preserve">Scope 3 Completeness:</w:t>
      </w:r>
      <w:r>
        <w:t xml:space="preserve"> </w:t>
      </w:r>
      <w:r>
        <w:t xml:space="preserve">Although a target of 95% coverage was met for Scope 3, some minor categories, or highly disaggregated supplier data points, may have been estimated based on industry averages or excluded if deemed non-material after screening.</w:t>
      </w:r>
    </w:p>
    <w:p>
      <w:pPr>
        <w:numPr>
          <w:ilvl w:val="0"/>
          <w:numId w:val="1018"/>
        </w:numPr>
        <w:pStyle w:val="Compact"/>
      </w:pPr>
      <w:r>
        <w:rPr>
          <w:bCs/>
          <w:b/>
        </w:rPr>
        <w:t xml:space="preserve">Dynamic Nature of Data:</w:t>
      </w:r>
      <w:r>
        <w:t xml:space="preserve"> </w:t>
      </w:r>
      <w:r>
        <w:t xml:space="preserve">Emission factors, energy grids, and operational data are subject to change over time. This report reflects the most current data available and assumptions made at the time of analysis.</w:t>
      </w:r>
    </w:p>
    <w:p>
      <w:pPr>
        <w:numPr>
          <w:ilvl w:val="0"/>
          <w:numId w:val="1018"/>
        </w:numPr>
        <w:pStyle w:val="Compact"/>
      </w:pPr>
      <w:r>
        <w:rPr>
          <w:bCs/>
          <w:b/>
        </w:rPr>
        <w:t xml:space="preserve">Geographic Specificity:</w:t>
      </w:r>
      <w:r>
        <w:t xml:space="preserve"> </w:t>
      </w:r>
      <w:r>
        <w:t xml:space="preserve">While China is the production country, and Europe is the supply chain focus, some generic emission factors may not perfectly capture regional specificities within these broad geographies.</w:t>
      </w:r>
    </w:p>
    <w:bookmarkEnd w:id="42"/>
    <w:bookmarkStart w:id="43" w:name="recommendations-for-emission-reduction"/>
    <w:p>
      <w:pPr>
        <w:pStyle w:val="Heading3"/>
      </w:pPr>
      <w:r>
        <w:t xml:space="preserve">3.3. Recommendations for Emission Reduction</w:t>
      </w:r>
    </w:p>
    <w:p>
      <w:pPr>
        <w:pStyle w:val="FirstParagraph"/>
      </w:pPr>
      <w:r>
        <w:t xml:space="preserve">Based on the identified hotspots, udwyzurrxt can focus on the following strategic areas to significantly reduce the PCF of idogexpquz:</w:t>
      </w:r>
    </w:p>
    <w:p>
      <w:pPr>
        <w:numPr>
          <w:ilvl w:val="0"/>
          <w:numId w:val="1019"/>
        </w:numPr>
        <w:pStyle w:val="Compact"/>
      </w:pPr>
      <w:r>
        <w:rPr>
          <w:bCs/>
          <w:b/>
        </w:rPr>
        <w:t xml:space="preserve">Optimize Use Phase Energy Efficiency:</w:t>
      </w:r>
      <w:r>
        <w:t xml:space="preserve"> </w:t>
      </w:r>
      <w:r>
        <w:t xml:space="preserve">This is the most critical area. Invest in product redesign to reduce `pwzopivwnl` (20 kWh/year) energy consumption during the product\'s operational life. This can involve more energy-efficient components, intelligent power management features, or software optimizations.</w:t>
      </w:r>
    </w:p>
    <w:p>
      <w:pPr>
        <w:numPr>
          <w:ilvl w:val="0"/>
          <w:numId w:val="1019"/>
        </w:numPr>
        <w:pStyle w:val="Compact"/>
      </w:pPr>
      <w:r>
        <w:rPr>
          <w:bCs/>
          <w:b/>
        </w:rPr>
        <w:t xml:space="preserve">Increase Renewable Energy Sourcing for Manufacturing:</w:t>
      </w:r>
      <w:r>
        <w:t xml:space="preserve"> </w:t>
      </w:r>
      <w:r>
        <w:t xml:space="preserve">Further enhance the `dtygsktunk` (40%) renewable energy share at the manufacturing facility in China. Exploring direct Power Purchase Agreements (PPAs) or investing in on-site renewable generation could be impactful.</w:t>
      </w:r>
    </w:p>
    <w:p>
      <w:pPr>
        <w:numPr>
          <w:ilvl w:val="0"/>
          <w:numId w:val="1019"/>
        </w:numPr>
        <w:pStyle w:val="Compact"/>
      </w:pPr>
      <w:r>
        <w:rPr>
          <w:bCs/>
          <w:b/>
        </w:rPr>
        <w:t xml:space="preserve">Implement Sustainable Material Sourcing Strategies:</w:t>
      </w:r>
      <w:r>
        <w:t xml:space="preserve"> </w:t>
      </w:r>
      <w:r>
        <w:t xml:space="preserve">Engage with suppliers to identify and procure lower-carbon alternative materials for components, particularly for those with high material footprints like aluminum. This could involve increasing recycled content or switching to materials produced with greener energy.</w:t>
      </w:r>
    </w:p>
    <w:p>
      <w:pPr>
        <w:numPr>
          <w:ilvl w:val="0"/>
          <w:numId w:val="1019"/>
        </w:numPr>
        <w:pStyle w:val="Compact"/>
      </w:pPr>
      <w:r>
        <w:rPr>
          <w:bCs/>
          <w:b/>
        </w:rPr>
        <w:t xml:space="preserve">Strengthen Circularity and End-of-Life Management:</w:t>
      </w:r>
      <w:r>
        <w:t xml:space="preserve"> </w:t>
      </w:r>
      <w:r>
        <w:t xml:space="preserve">Leverage and expand the `qdsxgnlmuo` (udwyzurrxt Product Take-back Initiative) to further increase `phonwswnhw` (60%) recyclability and explore opportunities for component reuse, refurbishment, or remanufacturing to extend product lifespans and keep materials in circulation.</w:t>
      </w:r>
    </w:p>
    <w:p>
      <w:pPr>
        <w:numPr>
          <w:ilvl w:val="0"/>
          <w:numId w:val="1019"/>
        </w:numPr>
        <w:pStyle w:val="Compact"/>
      </w:pPr>
      <w:r>
        <w:rPr>
          <w:bCs/>
          <w:b/>
        </w:rPr>
        <w:t xml:space="preserve">Supply Chain Engagement for Upstream Transport:</w:t>
      </w:r>
      <w:r>
        <w:t xml:space="preserve"> </w:t>
      </w:r>
      <w:r>
        <w:t xml:space="preserve">Explore optimizing inbound logistics from Europe to China to reduce transport distances or switch to lower-emission transport modes where feasible (e.g., rail instead of solely road freight for longer distances).</w:t>
      </w:r>
    </w:p>
    <w:p>
      <w:r>
        <w:pict>
          <v:rect style="width:0;height:1.5pt" o:hralign="center" o:hrstd="t" o:hr="t"/>
        </w:pict>
      </w:r>
    </w:p>
    <w:p>
      <w:pPr>
        <w:pStyle w:val="FirstParagraph"/>
      </w:pPr>
      <w:r>
        <w:t xml:space="preserve">Confidential - Internal Use Only | Page 2</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idogexpquz</dc:title>
  <dc:creator/>
  <dc:description>Detailed Product Carbon Footprint (PCF) analysis report for idogexpquz by udwyzurrxt, adhering to GHG Protocol and 2026 LSR standards, performed by Senior Sustainability Consultant lmimgvvimm.</dc:description>
  <dc:language>en</dc:language>
  <cp:keywords/>
  <dcterms:created xsi:type="dcterms:W3CDTF">2026-05-30T19:19:05Z</dcterms:created>
  <dcterms:modified xsi:type="dcterms:W3CDTF">2026-05-30T19:19:05Z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