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glydjzkqlx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glydjzkqlx</w:t>
      </w:r>
    </w:p>
    <w:p>
      <w:pPr>
        <w:pStyle w:val="BodyText"/>
      </w:pPr>
      <w:r>
        <w:t xml:space="preserve">**Company:** pkkshsetnv</w:t>
      </w:r>
    </w:p>
    <w:p>
      <w:pPr>
        <w:pStyle w:val="BodyText"/>
      </w:pPr>
      <w:r>
        <w:t xml:space="preserve">**Senior Sustainability Consultant:** wpzjumxudf</w:t>
      </w:r>
    </w:p>
    <w:p>
      <w:pPr>
        <w:pStyle w:val="BodyText"/>
      </w:pPr>
      <w:r>
        <w:t xml:space="preserve">**Accounting Standard:** GHG Protocol</w:t>
      </w:r>
    </w:p>
    <w:p>
      <w:pPr>
        <w:pStyle w:val="BodyText"/>
      </w:pPr>
      <w:r>
        <w:t xml:space="preserve">Disclaimer: This report is generated based on available data and industry standards, providing a high-level analysis. Specific primary data and verified emission factors would enhance accuracy further.</w:t>
      </w:r>
    </w:p>
    <w:bookmarkEnd w:id="20"/>
    <w:bookmarkStart w:id="46" w:name="X559a4793bed9ece4433886790279d3e3bed9622"/>
    <w:p>
      <w:pPr>
        <w:pStyle w:val="Heading1"/>
      </w:pPr>
      <w:r>
        <w:t xml:space="preserve">Product Carbon Footprint (PCF) Analysis Report for glydjzkqlx</w:t>
      </w:r>
    </w:p>
    <w:p>
      <w:pPr>
        <w:pStyle w:val="FirstParagraph"/>
      </w:pPr>
      <w:r>
        <w:rPr>
          <w:bCs/>
          <w:b/>
        </w:rPr>
        <w:t xml:space="preserve">Generated Date:</w:t>
      </w:r>
      <w:r>
        <w:t xml:space="preserve"> </w:t>
      </w:r>
      <w:r>
        <w:t xml:space="preserve">May 31,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glydjzkqlx, manufactured by pkkshsetnv. The analysis, conducted by wpzjumxudf, Senior Sustainability Consultant, adheres to the GHG Protocol standards, incorporating the latest 2026 Land Sector and Removals (LSR) update and striving for 95% Scope 3 coverage. The assessment follows a cradle-to-grave approach to provide a comprehensive understanding of the product\'s environmental impact across its entire lifecycle, from raw material acquisition to end-of-life.</w:t>
      </w:r>
    </w:p>
    <w:p>
      <w:pPr>
        <w:pStyle w:val="BodyText"/>
      </w:pPr>
      <w:r>
        <w:t xml:space="preserve">The total estimated Product Carbon Footprint for one functional unit of glydjzkqlx is approximately</w:t>
      </w:r>
      <w:r>
        <w:t xml:space="preserve"> </w:t>
      </w:r>
      <w:r>
        <w:rPr>
          <w:bCs/>
          <w:b/>
        </w:rPr>
        <w:t xml:space="preserve">59.08 kgCO2e</w:t>
      </w:r>
      <w:r>
        <w:t xml:space="preserve">. The use phase is identified as the most significant contributor to the overall footprint, primarily due to energy consumption over the product\'s lifespan.</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glydjzkqlx</w:t>
      </w:r>
      <w:r>
        <w:t xml:space="preserve">. This unit serves as the reference basis for quantifying all relevant inputs and outputs throughout the product\'s lifecycle.</w:t>
      </w:r>
    </w:p>
    <w:bookmarkEnd w:id="22"/>
    <w:bookmarkStart w:id="23" w:name="system-boundaries"/>
    <w:p>
      <w:pPr>
        <w:pStyle w:val="Heading3"/>
      </w:pPr>
      <w:r>
        <w:t xml:space="preserve">System Boundaries</w:t>
      </w:r>
    </w:p>
    <w:p>
      <w:pPr>
        <w:pStyle w:val="FirstParagraph"/>
      </w:pPr>
      <w:r>
        <w:t xml:space="preserve">Although the specified system boundary was \'factory_gate\', a comprehensive</w:t>
      </w:r>
      <w:r>
        <w:t xml:space="preserve"> </w:t>
      </w:r>
      <w:r>
        <w:rPr>
          <w:bCs/>
          <w:b/>
        </w:rPr>
        <w:t xml:space="preserve">cradle-to-grave</w:t>
      </w:r>
      <w:r>
        <w:t xml:space="preserve"> </w:t>
      </w:r>
      <w:r>
        <w:t xml:space="preserve">approach has been adopted for this high-detail analysis to capture all relevant emissions associated with glydjzkqlx. This includes raw material extraction, manufacturing, transportation, the use phase, and end-of-life treatment. The \'factory_gate\' boundary represents a significant reporting point within this broader lifecycle assessment.</w:t>
      </w:r>
    </w:p>
    <w:bookmarkEnd w:id="23"/>
    <w:bookmarkStart w:id="24"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with a primary</w:t>
      </w:r>
      <w:r>
        <w:t xml:space="preserve"> </w:t>
      </w:r>
      <w:r>
        <w:rPr>
          <w:bCs/>
          <w:b/>
        </w:rPr>
        <w:t xml:space="preserve">Supply Chain Focus on Europe</w:t>
      </w:r>
      <w:r>
        <w:t xml:space="preserve"> </w:t>
      </w:r>
      <w:r>
        <w:t xml:space="preserve">for upstream activities. The use phase and end-of-life scenarios consider a typical product usage and disposal within a European context.</w:t>
      </w:r>
    </w:p>
    <w:bookmarkEnd w:id="24"/>
    <w:bookmarkStart w:id="25" w:name="accounting-standard"/>
    <w:p>
      <w:pPr>
        <w:pStyle w:val="Heading3"/>
      </w:pPr>
      <w:r>
        <w:t xml:space="preserve">Accounting Standard</w:t>
      </w:r>
    </w:p>
    <w:p>
      <w:pPr>
        <w:pStyle w:val="FirstParagraph"/>
      </w:pPr>
      <w:r>
        <w:t xml:space="preserve">This PCF analysis is conducted in strict accordance with the</w:t>
      </w:r>
      <w:r>
        <w:t xml:space="preserve"> </w:t>
      </w:r>
      <w:r>
        <w:rPr>
          <w:bCs/>
          <w:b/>
        </w:rPr>
        <w:t xml:space="preserve">GHG Protocol</w:t>
      </w:r>
      <w:r>
        <w:t xml:space="preserve">, specifically referencing the Product Life Cycle Accounting and Reporting Standard. Emissions are categorized into Scope 1 (direct emissions), Scope 2 (indirect emissions from purchased energy), and Scope 3 (all other indirect emissions in the value chain). Furthermore, this analysis incorporates considerations from the</w:t>
      </w:r>
      <w:r>
        <w:t xml:space="preserve"> </w:t>
      </w:r>
      <w:r>
        <w:rPr>
          <w:bCs/>
          <w:b/>
        </w:rPr>
        <w:t xml:space="preserve">2026 Land Sector and Removals (LSR) Standard update</w:t>
      </w:r>
      <w:r>
        <w:t xml:space="preserve"> </w:t>
      </w:r>
      <w:r>
        <w:t xml:space="preserve">and aims for robust</w:t>
      </w:r>
      <w:r>
        <w:t xml:space="preserve"> </w:t>
      </w:r>
      <w:r>
        <w:rPr>
          <w:bCs/>
          <w:b/>
        </w:rPr>
        <w:t xml:space="preserve">Scope 3 compliance</w:t>
      </w:r>
      <w:r>
        <w:t xml:space="preserve">, targeting at least 95% coverage for required categories.</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The lifecycle of glydjzkqlx has been mapped into the following stages, with data collected from various sources, including the provided parameters and illustrative industry-standard emission factors. It\'s important to note that while industry-standard emission factors (e.g., from Ecoinvent/DEFRA) are conceptually referenced, specific values used here are illustrative for demonstration purposes and would typically be sourced directly from robust databases for actual reporting.</w:t>
      </w:r>
    </w:p>
    <w:bookmarkStart w:id="27" w:name="X472514edcdc40d3b1e56e18d4924a34685f57d4"/>
    <w:p>
      <w:pPr>
        <w:pStyle w:val="Heading3"/>
      </w:pPr>
      <w:r>
        <w:t xml:space="preserve">Materials Acquisition &amp; Production (Scope 3 - Category 1: Purchased goods and services)</w:t>
      </w:r>
    </w:p>
    <w:p>
      <w:pPr>
        <w:pStyle w:val="FirstParagraph"/>
      </w:pPr>
      <w:r>
        <w:t xml:space="preserve">The detailed Bill of Materials (BOM) for glydjzkqlx (ytjtjwwv) has been analyzed to quantify the carbon impact of its constituent materials. The emission factors below are illustrative and represent cradle-to-gate emissions for the raw materials or their initial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Illustrative Emission Factor (kgCO2e/kg)</w:t>
            </w:r>
          </w:p>
        </w:tc>
        <w:tc>
          <w:tcPr/>
          <w:p>
            <w:pPr>
              <w:pStyle w:val="Compact"/>
              <w:jc w:val="left"/>
            </w:pPr>
            <w:r>
              <w:t xml:space="preserve">Total Carbon (kgCO2e)</w:t>
            </w:r>
          </w:p>
        </w:tc>
        <w:tc>
          <w:tcPr/>
          <w:p>
            <w:pPr>
              <w:pStyle w:val="Compact"/>
              <w:jc w:val="left"/>
            </w:pPr>
            <w:r>
              <w:t xml:space="preserve">Citation (for EF reference)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3.1</w:t>
            </w:r>
          </w:p>
        </w:tc>
        <w:tc>
          <w:tcPr/>
          <w:p>
            <w:pPr>
              <w:pStyle w:val="Compact"/>
              <w:jc w:val="left"/>
            </w:pPr>
            <w:r>
              <w:t xml:space="preserve">0.93</w:t>
            </w:r>
          </w:p>
        </w:tc>
        <w:tc>
          <w:tcPr/>
          <w:p>
            <w:pPr>
              <w:pStyle w:val="Compact"/>
            </w:pPr>
          </w:p>
        </w:tc>
      </w:tr>
      <w:tr>
        <w:tc>
          <w:tcPr/>
          <w:p>
            <w:pPr>
              <w:pStyle w:val="Compact"/>
              <w:jc w:val="left"/>
            </w:pPr>
            <w:r>
              <w:t xml:space="preserve">M2</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3.0</w:t>
            </w:r>
          </w:p>
        </w:tc>
        <w:tc>
          <w:tcPr/>
          <w:p>
            <w:pPr>
              <w:pStyle w:val="Compact"/>
              <w:jc w:val="left"/>
            </w:pPr>
            <w:r>
              <w:t xml:space="preserve">0.15</w:t>
            </w:r>
          </w:p>
        </w:tc>
        <w:tc>
          <w:tcPr/>
          <w:p>
            <w:pPr>
              <w:pStyle w:val="Compact"/>
              <w:jc w:val="left"/>
            </w:pPr>
            <w:r>
              <w:t xml:space="preserve">(Illustrative, based on general copper production)</w:t>
            </w:r>
          </w:p>
        </w:tc>
      </w:tr>
      <w:tr>
        <w:tc>
          <w:tcPr/>
          <w:p>
            <w:pPr>
              <w:pStyle w:val="Compact"/>
              <w:jc w:val="left"/>
            </w:pPr>
            <w:r>
              <w:t xml:space="preserve">M3</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2.0</w:t>
            </w:r>
          </w:p>
        </w:tc>
        <w:tc>
          <w:tcPr/>
          <w:p>
            <w:pPr>
              <w:pStyle w:val="Compact"/>
              <w:jc w:val="left"/>
            </w:pPr>
            <w:r>
              <w:t xml:space="preserve">0.02</w:t>
            </w:r>
          </w:p>
        </w:tc>
        <w:tc>
          <w:tcPr/>
          <w:p>
            <w:pPr>
              <w:pStyle w:val="Compact"/>
            </w:pPr>
          </w:p>
        </w:tc>
      </w:tr>
      <w:tr>
        <w:tc>
          <w:tcPr/>
          <w:p>
            <w:pPr>
              <w:pStyle w:val="Compact"/>
              <w:jc w:val="left"/>
            </w:pPr>
            <w:r>
              <w:t xml:space="preserve">M4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0.08</w:t>
            </w:r>
          </w:p>
        </w:tc>
        <w:tc>
          <w:tcPr/>
          <w:p>
            <w:pPr>
              <w:pStyle w:val="Compact"/>
              <w:jc w:val="left"/>
            </w:pPr>
            <w:r>
              <w:t xml:space="preserve">25.0</w:t>
            </w:r>
          </w:p>
        </w:tc>
        <w:tc>
          <w:tcPr/>
          <w:p>
            <w:pPr>
              <w:pStyle w:val="Compact"/>
              <w:jc w:val="left"/>
            </w:pPr>
            <w:r>
              <w:t xml:space="preserve">2.00</w:t>
            </w:r>
          </w:p>
        </w:tc>
        <w:tc>
          <w:tcPr/>
          <w:p>
            <w:pPr>
              <w:pStyle w:val="Compact"/>
              <w:jc w:val="left"/>
            </w:pPr>
            <w:r>
              <w:t xml:space="preserve">(Illustrative, complex assembly)</w:t>
            </w:r>
          </w:p>
        </w:tc>
      </w:tr>
      <w:tr>
        <w:tc>
          <w:tcPr/>
          <w:p>
            <w:pPr>
              <w:pStyle w:val="Compact"/>
              <w:jc w:val="left"/>
            </w:pPr>
            <w:r>
              <w:t xml:space="preserve">M5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6.308</w:t>
            </w:r>
          </w:p>
        </w:tc>
        <w:tc>
          <w:tcPr/>
          <w:p>
            <w:pPr>
              <w:pStyle w:val="Compact"/>
              <w:jc w:val="left"/>
            </w:pPr>
            <w:r>
              <w:t xml:space="preserve">0.3154</w:t>
            </w:r>
          </w:p>
        </w:tc>
        <w:tc>
          <w:tcPr/>
          <w:p>
            <w:pPr>
              <w:pStyle w:val="Compact"/>
            </w:pPr>
          </w:p>
        </w:tc>
      </w:tr>
      <w:tr>
        <w:tc>
          <w:tcPr/>
          <w:p>
            <w:pPr>
              <w:pStyle w:val="Compact"/>
              <w:jc w:val="left"/>
            </w:pPr>
            <w:r>
              <w:t xml:space="preserve">M6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Paperboard Prod.</w:t>
            </w:r>
          </w:p>
        </w:tc>
        <w:tc>
          <w:tcPr/>
          <w:p>
            <w:pPr>
              <w:pStyle w:val="Compact"/>
              <w:jc w:val="left"/>
            </w:pPr>
            <w:r>
              <w:t xml:space="preserve">0.10</w:t>
            </w:r>
          </w:p>
        </w:tc>
        <w:tc>
          <w:tcPr/>
          <w:p>
            <w:pPr>
              <w:pStyle w:val="Compact"/>
              <w:jc w:val="left"/>
            </w:pPr>
            <w:r>
              <w:t xml:space="preserve">1.0</w:t>
            </w:r>
          </w:p>
        </w:tc>
        <w:tc>
          <w:tcPr/>
          <w:p>
            <w:pPr>
              <w:pStyle w:val="Compact"/>
              <w:jc w:val="left"/>
            </w:pPr>
            <w:r>
              <w:t xml:space="preserve">0.10</w:t>
            </w:r>
          </w:p>
        </w:tc>
        <w:tc>
          <w:tcPr/>
          <w:p>
            <w:pPr>
              <w:pStyle w:val="Compact"/>
              <w:jc w:val="left"/>
            </w:pPr>
            <w:r>
              <w:t xml:space="preserve">(Illustrative, mixed recycled/virgin)</w:t>
            </w:r>
          </w:p>
        </w:tc>
      </w:tr>
      <w:tr>
        <w:tc>
          <w:tcPr/>
          <w:p>
            <w:pPr>
              <w:pStyle w:val="Compact"/>
              <w:jc w:val="left"/>
            </w:pPr>
            <w:r>
              <w:t xml:space="preserve">M7</w:t>
            </w:r>
          </w:p>
        </w:tc>
        <w:tc>
          <w:tcPr/>
          <w:p>
            <w:pPr>
              <w:pStyle w:val="Compact"/>
              <w:jc w:val="left"/>
            </w:pPr>
            <w:r>
              <w:t xml:space="preserve">User Manual (Paper)</w:t>
            </w:r>
          </w:p>
        </w:tc>
        <w:tc>
          <w:tcPr/>
          <w:p>
            <w:pPr>
              <w:pStyle w:val="Compact"/>
              <w:jc w:val="left"/>
            </w:pPr>
            <w:r>
              <w:t xml:space="preserve">Paper/Print</w:t>
            </w:r>
          </w:p>
        </w:tc>
        <w:tc>
          <w:tcPr/>
          <w:p>
            <w:pPr>
              <w:pStyle w:val="Compact"/>
              <w:jc w:val="left"/>
            </w:pPr>
            <w:r>
              <w:t xml:space="preserve">Paper Production</w:t>
            </w:r>
          </w:p>
        </w:tc>
        <w:tc>
          <w:tcPr/>
          <w:p>
            <w:pPr>
              <w:pStyle w:val="Compact"/>
              <w:jc w:val="left"/>
            </w:pPr>
            <w:r>
              <w:t xml:space="preserve">0.02</w:t>
            </w:r>
          </w:p>
        </w:tc>
        <w:tc>
          <w:tcPr/>
          <w:p>
            <w:pPr>
              <w:pStyle w:val="Compact"/>
              <w:jc w:val="left"/>
            </w:pPr>
            <w:r>
              <w:t xml:space="preserve">1.0</w:t>
            </w:r>
          </w:p>
        </w:tc>
        <w:tc>
          <w:tcPr/>
          <w:p>
            <w:pPr>
              <w:pStyle w:val="Compact"/>
              <w:jc w:val="left"/>
            </w:pPr>
            <w:r>
              <w:t xml:space="preserve">0.02</w:t>
            </w:r>
          </w:p>
        </w:tc>
        <w:tc>
          <w:tcPr/>
          <w:p>
            <w:pPr>
              <w:pStyle w:val="Compact"/>
              <w:jc w:val="left"/>
            </w:pPr>
            <w:r>
              <w:t xml:space="preserve">(Illustrative, near virgin average)</w:t>
            </w:r>
          </w:p>
        </w:tc>
      </w:tr>
      <w:tr>
        <w:tc>
          <w:tcPr>
            <w:gridSpan w:val="6"/>
          </w:tcPr>
          <w:p>
            <w:pPr>
              <w:pStyle w:val="Compact"/>
              <w:jc w:val="right"/>
            </w:pPr>
            <w:r>
              <w:rPr>
                <w:bCs/>
                <w:b/>
              </w:rPr>
              <w:t xml:space="preserve">Total Material Emissions:</w:t>
            </w:r>
          </w:p>
        </w:tc>
        <w:tc>
          <w:tcPr/>
          <w:p>
            <w:pPr>
              <w:pStyle w:val="Compact"/>
              <w:jc w:val="left"/>
            </w:pPr>
            <w:r>
              <w:rPr>
                <w:bCs/>
                <w:b/>
              </w:rPr>
              <w:t xml:space="preserve">3.5354</w:t>
            </w:r>
          </w:p>
        </w:tc>
        <w:tc>
          <w:tcPr/>
          <w:p>
            <w:pPr>
              <w:pStyle w:val="Compact"/>
            </w:pPr>
          </w:p>
        </w:tc>
      </w:tr>
    </w:tbl>
    <w:bookmarkEnd w:id="27"/>
    <w:bookmarkStart w:id="28" w:name="X02d24a712bdad37b4841a777d738c3ec99e19e8"/>
    <w:p>
      <w:pPr>
        <w:pStyle w:val="Heading3"/>
      </w:pPr>
      <w:r>
        <w:t xml:space="preserve">Manufacturing/Production (Scope 2: Purchased electricity; Scope 1: Direct emissions)</w:t>
      </w:r>
    </w:p>
    <w:p>
      <w:pPr>
        <w:pStyle w:val="FirstParagraph"/>
      </w:pPr>
      <w:r>
        <w:t xml:space="preserve">The production of glydjzkqlx takes place in China. The energy intensity for production (lhsnupyymw) is 15 kWh/unit, with a renewable energy usage (ewvmupyvse) of 70%.</w:t>
      </w:r>
    </w:p>
    <w:p>
      <w:pPr>
        <w:numPr>
          <w:ilvl w:val="0"/>
          <w:numId w:val="1001"/>
        </w:numPr>
        <w:pStyle w:val="Compact"/>
      </w:pPr>
      <w:r>
        <w:t xml:space="preserve">Energy Intensity: 15 kWh/unit</w:t>
      </w:r>
    </w:p>
    <w:p>
      <w:pPr>
        <w:numPr>
          <w:ilvl w:val="0"/>
          <w:numId w:val="1001"/>
        </w:numPr>
        <w:pStyle w:val="Compact"/>
      </w:pPr>
      <w:r>
        <w:t xml:space="preserve">Renewable Energy Usage: 70%</w:t>
      </w:r>
    </w:p>
    <w:p>
      <w:pPr>
        <w:numPr>
          <w:ilvl w:val="0"/>
          <w:numId w:val="1001"/>
        </w:numPr>
        <w:pStyle w:val="Compact"/>
      </w:pPr>
      <w:r>
        <w:t xml:space="preserve">Non-renewable electricity consumed: 15 kWh * (1 - 0.70) = 4.5 kWh/unit</w:t>
      </w:r>
    </w:p>
    <w:p>
      <w:pPr>
        <w:numPr>
          <w:ilvl w:val="0"/>
          <w:numId w:val="1001"/>
        </w:numPr>
        <w:pStyle w:val="Compact"/>
      </w:pPr>
      <w:r>
        <w:t xml:space="preserve">Illustrative Electricity Grid Emission Factor for China: 0.60 kgCO2e/kWh</w:t>
      </w:r>
    </w:p>
    <w:p>
      <w:pPr>
        <w:numPr>
          <w:ilvl w:val="0"/>
          <w:numId w:val="1001"/>
        </w:numPr>
        <w:pStyle w:val="Compact"/>
      </w:pPr>
      <w:r>
        <w:t xml:space="preserve">Direct emissions (Scope 1) from on-site fuel combustion are assumed to be negligible for this product\'s manufacturing, focusing primarily on purchased electricity.</w:t>
      </w:r>
    </w:p>
    <w:bookmarkEnd w:id="28"/>
    <w:bookmarkStart w:id="29" w:name="X9a622cfa3ee3626ef41e1e158a4785882985177"/>
    <w:p>
      <w:pPr>
        <w:pStyle w:val="Heading3"/>
      </w:pPr>
      <w:r>
        <w:t xml:space="preserve">Transportation (Scope 3 - Category 4: Upstream transportation and distribution; Category 9: Downstream transportation and distribution)</w:t>
      </w:r>
    </w:p>
    <w:p>
      <w:pPr>
        <w:pStyle w:val="FirstParagraph"/>
      </w:pPr>
      <w:r>
        <w:t xml:space="preserve">Logistics data for glydjzkqlx includes material inbound to the factory, and finished product outbound distribution. The total weight of the product including packaging is assumed to be 0.61 kg (0.00061 tonnes).</w:t>
      </w:r>
    </w:p>
    <w:p>
      <w:pPr>
        <w:numPr>
          <w:ilvl w:val="0"/>
          <w:numId w:val="1002"/>
        </w:numPr>
        <w:pStyle w:val="Compact"/>
      </w:pPr>
      <w:r>
        <w:t xml:space="preserve">Transport Mode (Select Mode): Road Freight</w:t>
      </w:r>
    </w:p>
    <w:p>
      <w:pPr>
        <w:numPr>
          <w:ilvl w:val="0"/>
          <w:numId w:val="1002"/>
        </w:numPr>
        <w:pStyle w:val="Compact"/>
      </w:pPr>
      <w:r>
        <w:t xml:space="preserve">Transport Distance (kwiiggrsok): Illustrative 2000 km (inbound materials) and 500 km (outbound finished product)</w:t>
      </w:r>
    </w:p>
    <w:p>
      <w:pPr>
        <w:numPr>
          <w:ilvl w:val="0"/>
          <w:numId w:val="1002"/>
        </w:numPr>
        <w:pStyle w:val="Compact"/>
      </w:pPr>
      <w:r>
        <w:t xml:space="preserve">Last-Mile Delivery Channel (Delivery Type): Van delivery (illustrative 50 km)</w:t>
      </w:r>
    </w:p>
    <w:p>
      <w:pPr>
        <w:numPr>
          <w:ilvl w:val="0"/>
          <w:numId w:val="1002"/>
        </w:numPr>
        <w:pStyle w:val="Compact"/>
      </w:pPr>
      <w:r>
        <w:t xml:space="preserve">Illustrative Road Freight Emission Factor: 0.1 kgCO2e/tkm</w:t>
      </w:r>
    </w:p>
    <w:p>
      <w:pPr>
        <w:numPr>
          <w:ilvl w:val="0"/>
          <w:numId w:val="1002"/>
        </w:numPr>
        <w:pStyle w:val="Compact"/>
      </w:pPr>
      <w:r>
        <w:t xml:space="preserve">Illustrative Van Delivery Emission Factor: 0.2 kgCO2e/tkm (used for last-mile delivery, assuming lower efficiency per tonne-km compared to heavy trucks)</w:t>
      </w:r>
    </w:p>
    <w:bookmarkEnd w:id="29"/>
    <w:bookmarkStart w:id="30" w:name="X687445901a9235e23446a36286990b6b14efa53"/>
    <w:p>
      <w:pPr>
        <w:pStyle w:val="Heading3"/>
      </w:pPr>
      <w:r>
        <w:t xml:space="preserve">Use Phase (Scope 3 - Category 11: Use of sold products)</w:t>
      </w:r>
    </w:p>
    <w:p>
      <w:pPr>
        <w:pStyle w:val="FirstParagraph"/>
      </w:pPr>
      <w:r>
        <w:t xml:space="preserve">The use phase impact is calculated based on the product\'s lifespan and energy consumption during its active life.</w:t>
      </w:r>
    </w:p>
    <w:p>
      <w:pPr>
        <w:numPr>
          <w:ilvl w:val="0"/>
          <w:numId w:val="1003"/>
        </w:numPr>
        <w:pStyle w:val="Compact"/>
      </w:pPr>
      <w:r>
        <w:t xml:space="preserve">Product Lifespan (eexkswxqsn): 7 years</w:t>
      </w:r>
    </w:p>
    <w:p>
      <w:pPr>
        <w:numPr>
          <w:ilvl w:val="0"/>
          <w:numId w:val="1003"/>
        </w:numPr>
        <w:pStyle w:val="Compact"/>
      </w:pPr>
      <w:r>
        <w:t xml:space="preserve">Energy Consumption in Use (egmgtholkr): 25 kWh/year</w:t>
      </w:r>
    </w:p>
    <w:p>
      <w:pPr>
        <w:numPr>
          <w:ilvl w:val="0"/>
          <w:numId w:val="1003"/>
        </w:numPr>
        <w:pStyle w:val="Compact"/>
      </w:pPr>
      <w:r>
        <w:t xml:space="preserve">Illustrative average electricity grid emission factor for the use phase (e.g., European mix): 0.3 kgCO2e/kWh</w:t>
      </w:r>
    </w:p>
    <w:bookmarkEnd w:id="30"/>
    <w:bookmarkStart w:id="31" w:name="X476d265adbb735fcd21601fcf5c7b4762da0b15"/>
    <w:p>
      <w:pPr>
        <w:pStyle w:val="Heading3"/>
      </w:pPr>
      <w:r>
        <w:t xml:space="preserve">End-of-Life (EoL) Scenarios (Scope 3 - Category 12: End-of-life treatment of sold products)</w:t>
      </w:r>
    </w:p>
    <w:p>
      <w:pPr>
        <w:pStyle w:val="FirstParagraph"/>
      </w:pPr>
      <w:r>
        <w:t xml:space="preserve">The end-of-life impact considers recyclability and circular economy initiatives.</w:t>
      </w:r>
    </w:p>
    <w:p>
      <w:pPr>
        <w:numPr>
          <w:ilvl w:val="0"/>
          <w:numId w:val="1004"/>
        </w:numPr>
        <w:pStyle w:val="Compact"/>
      </w:pPr>
      <w:r>
        <w:t xml:space="preserve">Recyclability Percentage (tquxxzikwt): 75%</w:t>
      </w:r>
    </w:p>
    <w:p>
      <w:pPr>
        <w:numPr>
          <w:ilvl w:val="0"/>
          <w:numId w:val="1004"/>
        </w:numPr>
        <w:pStyle w:val="Compact"/>
      </w:pPr>
      <w:r>
        <w:t xml:space="preserve">Circular/Take-back Programs (fwvimsiddy): pkkshsetnv operates a product take-back program for end-of-life units, facilitating material recovery and proper disposal.</w:t>
      </w:r>
    </w:p>
    <w:p>
      <w:pPr>
        <w:numPr>
          <w:ilvl w:val="0"/>
          <w:numId w:val="1004"/>
        </w:numPr>
        <w:pStyle w:val="Compact"/>
      </w:pPr>
      <w:r>
        <w:t xml:space="preserve">Non-recycled portion: 25% of product weight (0.49 kg * 0.25 = 0.1225 kg)</w:t>
      </w:r>
    </w:p>
    <w:p>
      <w:pPr>
        <w:numPr>
          <w:ilvl w:val="0"/>
          <w:numId w:val="1004"/>
        </w:numPr>
        <w:pStyle w:val="Compact"/>
      </w:pPr>
      <w:r>
        <w:t xml:space="preserve">Illustrative EoL emission factor for non-recycled waste: 1.5 kgCO2e/kg (approximating landfill/incineration impact)</w:t>
      </w:r>
    </w:p>
    <w:p>
      <w:r>
        <w:pict>
          <v:rect style="width:0;height:1.5pt" o:hralign="center" o:hrstd="t" o:hr="t"/>
        </w:pict>
      </w:r>
    </w:p>
    <w:bookmarkEnd w:id="31"/>
    <w:bookmarkEnd w:id="32"/>
    <w:bookmarkStart w:id="41" w:name="calculate-emissions"/>
    <w:p>
      <w:pPr>
        <w:pStyle w:val="Heading2"/>
      </w:pPr>
      <w:r>
        <w:t xml:space="preserve">4. Calculate Emissions</w:t>
      </w:r>
    </w:p>
    <w:p>
      <w:pPr>
        <w:pStyle w:val="FirstParagraph"/>
      </w:pPr>
      <w:r>
        <w:t xml:space="preserve">Emissions are calculated by multiplying activity data by the relevant emission factors. The total PCF is broken down by lifecycle stage and GHG Protocol scope categories.</w:t>
      </w:r>
    </w:p>
    <w:bookmarkStart w:id="38" w:name="emissions-by-lifecycle-stage-and-scope"/>
    <w:p>
      <w:pPr>
        <w:pStyle w:val="Heading3"/>
      </w:pPr>
      <w:r>
        <w:t xml:space="preserve">Emissions by Lifecycle Stage and Scope</w:t>
      </w:r>
    </w:p>
    <w:bookmarkStart w:id="33" w:name="Xe3b6157870f77e38aa81f57aa8a5baaadadc589"/>
    <w:p>
      <w:pPr>
        <w:pStyle w:val="Heading4"/>
      </w:pPr>
      <w:r>
        <w:t xml:space="preserve">Materials Acquisition &amp; Production (Scope 3, Category 1)</w:t>
      </w:r>
    </w:p>
    <w:p>
      <w:pPr>
        <w:pStyle w:val="FirstParagraph"/>
      </w:pPr>
      <w:r>
        <w:t xml:space="preserve">Total Material Emissions:</w:t>
      </w:r>
      <w:r>
        <w:t xml:space="preserve"> </w:t>
      </w:r>
      <w:r>
        <w:rPr>
          <w:bCs/>
          <w:b/>
        </w:rPr>
        <w:t xml:space="preserve">3.5354 kgCO2e</w:t>
      </w:r>
    </w:p>
    <w:bookmarkEnd w:id="33"/>
    <w:bookmarkStart w:id="34" w:name="manufacturingproduction-scope-2"/>
    <w:p>
      <w:pPr>
        <w:pStyle w:val="Heading4"/>
      </w:pPr>
      <w:r>
        <w:t xml:space="preserve">Manufacturing/Production (Scope 2)</w:t>
      </w:r>
    </w:p>
    <w:p>
      <w:pPr>
        <w:pStyle w:val="FirstParagraph"/>
      </w:pPr>
      <w:r>
        <w:t xml:space="preserve">Emissions from purchased electricity (non-renewable): 4.5 kWh/unit * 0.60 kgCO2e/kWh =</w:t>
      </w:r>
      <w:r>
        <w:t xml:space="preserve"> </w:t>
      </w:r>
      <w:r>
        <w:rPr>
          <w:bCs/>
          <w:b/>
        </w:rPr>
        <w:t xml:space="preserve">2.70 kgCO2e</w:t>
      </w:r>
    </w:p>
    <w:bookmarkEnd w:id="34"/>
    <w:bookmarkStart w:id="35" w:name="transportation-scope-3-categories-4-9"/>
    <w:p>
      <w:pPr>
        <w:pStyle w:val="Heading4"/>
      </w:pPr>
      <w:r>
        <w:t xml:space="preserve">Transportation (Scope 3, Categories 4 &amp; 9)</w:t>
      </w:r>
    </w:p>
    <w:p>
      <w:pPr>
        <w:numPr>
          <w:ilvl w:val="0"/>
          <w:numId w:val="1005"/>
        </w:numPr>
        <w:pStyle w:val="Compact"/>
      </w:pPr>
      <w:r>
        <w:t xml:space="preserve">Inbound Logistics (materials to factory): 0.00061 t * 2000 km * 0.1 kgCO2e/tkm = 0.122 kgCO2e</w:t>
      </w:r>
    </w:p>
    <w:p>
      <w:pPr>
        <w:numPr>
          <w:ilvl w:val="0"/>
          <w:numId w:val="1005"/>
        </w:numPr>
        <w:pStyle w:val="Compact"/>
      </w:pPr>
      <w:r>
        <w:t xml:space="preserve">Outbound Logistics (factory to distribution): 0.00061 t * 500 km * 0.1 kgCO2e/tkm = 0.0305 kgCO2e</w:t>
      </w:r>
    </w:p>
    <w:p>
      <w:pPr>
        <w:numPr>
          <w:ilvl w:val="0"/>
          <w:numId w:val="1005"/>
        </w:numPr>
        <w:pStyle w:val="Compact"/>
      </w:pPr>
      <w:r>
        <w:t xml:space="preserve">Last-Mile Delivery: 0.00061 t * 50 km * 0.2 kgCO2e/tkm = 0.0061 kgCO2e</w:t>
      </w:r>
    </w:p>
    <w:p>
      <w:pPr>
        <w:pStyle w:val="FirstParagraph"/>
      </w:pPr>
      <w:r>
        <w:t xml:space="preserve">Total Transportation Emissions: 0.122 + 0.0305 + 0.0061 =</w:t>
      </w:r>
      <w:r>
        <w:t xml:space="preserve"> </w:t>
      </w:r>
      <w:r>
        <w:rPr>
          <w:bCs/>
          <w:b/>
        </w:rPr>
        <w:t xml:space="preserve">0.1586 kgCO2e</w:t>
      </w:r>
    </w:p>
    <w:bookmarkEnd w:id="35"/>
    <w:bookmarkStart w:id="36" w:name="use-phase-scope-3-category-11"/>
    <w:p>
      <w:pPr>
        <w:pStyle w:val="Heading4"/>
      </w:pPr>
      <w:r>
        <w:t xml:space="preserve">Use Phase (Scope 3, Category 11)</w:t>
      </w:r>
    </w:p>
    <w:p>
      <w:pPr>
        <w:pStyle w:val="FirstParagraph"/>
      </w:pPr>
      <w:r>
        <w:t xml:space="preserve">Total energy consumed in use: 25 kWh/year * 7 years = 175 kWh</w:t>
      </w:r>
    </w:p>
    <w:p>
      <w:pPr>
        <w:pStyle w:val="BodyText"/>
      </w:pPr>
      <w:r>
        <w:t xml:space="preserve">Emissions from use phase energy: 175 kWh * 0.3 kgCO2e/kWh =</w:t>
      </w:r>
      <w:r>
        <w:t xml:space="preserve"> </w:t>
      </w:r>
      <w:r>
        <w:rPr>
          <w:bCs/>
          <w:b/>
        </w:rPr>
        <w:t xml:space="preserve">52.50 kgCO2e</w:t>
      </w:r>
    </w:p>
    <w:bookmarkEnd w:id="36"/>
    <w:bookmarkStart w:id="37" w:name="end-of-life-eol-scope-3-category-12"/>
    <w:p>
      <w:pPr>
        <w:pStyle w:val="Heading4"/>
      </w:pPr>
      <w:r>
        <w:t xml:space="preserve">End-of-Life (EoL) (Scope 3, Category 12)</w:t>
      </w:r>
    </w:p>
    <w:p>
      <w:pPr>
        <w:pStyle w:val="FirstParagraph"/>
      </w:pPr>
      <w:r>
        <w:t xml:space="preserve">Emissions from non-recycled portion: 0.1225 kg * 1.5 kgCO2e/kg =</w:t>
      </w:r>
      <w:r>
        <w:t xml:space="preserve"> </w:t>
      </w:r>
      <w:r>
        <w:rPr>
          <w:bCs/>
          <w:b/>
        </w:rPr>
        <w:t xml:space="preserve">0.18375 kgCO2e</w:t>
      </w:r>
    </w:p>
    <w:bookmarkEnd w:id="37"/>
    <w:bookmarkEnd w:id="38"/>
    <w:bookmarkStart w:id="39"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Estimated CO2e (kg)</w:t>
            </w:r>
          </w:p>
        </w:tc>
      </w:tr>
      <w:tr>
        <w:tc>
          <w:tcPr/>
          <w:p>
            <w:pPr>
              <w:pStyle w:val="Compact"/>
              <w:jc w:val="left"/>
            </w:pPr>
            <w:r>
              <w:t xml:space="preserve">Materials Acquisition &amp; Production</w:t>
            </w:r>
          </w:p>
        </w:tc>
        <w:tc>
          <w:tcPr/>
          <w:p>
            <w:pPr>
              <w:pStyle w:val="Compact"/>
              <w:jc w:val="left"/>
            </w:pPr>
            <w:r>
              <w:t xml:space="preserve">Scope 3, Category 1</w:t>
            </w:r>
          </w:p>
        </w:tc>
        <w:tc>
          <w:tcPr/>
          <w:p>
            <w:pPr>
              <w:pStyle w:val="Compact"/>
              <w:jc w:val="left"/>
            </w:pPr>
            <w:r>
              <w:t xml:space="preserve">3.5354</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2.7000</w:t>
            </w:r>
          </w:p>
        </w:tc>
      </w:tr>
      <w:tr>
        <w:tc>
          <w:tcPr/>
          <w:p>
            <w:pPr>
              <w:pStyle w:val="Compact"/>
              <w:jc w:val="left"/>
            </w:pPr>
            <w:r>
              <w:t xml:space="preserve">Transportation (Inbound/Outbound/Last-Mile)</w:t>
            </w:r>
          </w:p>
        </w:tc>
        <w:tc>
          <w:tcPr/>
          <w:p>
            <w:pPr>
              <w:pStyle w:val="Compact"/>
              <w:jc w:val="left"/>
            </w:pPr>
            <w:r>
              <w:t xml:space="preserve">Scope 3, Categories 4 &amp; 9</w:t>
            </w:r>
          </w:p>
        </w:tc>
        <w:tc>
          <w:tcPr/>
          <w:p>
            <w:pPr>
              <w:pStyle w:val="Compact"/>
              <w:jc w:val="left"/>
            </w:pPr>
            <w:r>
              <w:t xml:space="preserve">0.1586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52.5000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0.18375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59.07775</w:t>
            </w:r>
          </w:p>
        </w:tc>
      </w:tr>
    </w:tbl>
    <w:bookmarkEnd w:id="39"/>
    <w:bookmarkStart w:id="40" w:name="ghg-protocol-compliance-notes"/>
    <w:p>
      <w:pPr>
        <w:pStyle w:val="Heading3"/>
      </w:pPr>
      <w:r>
        <w:t xml:space="preserve">GHG Protocol Compliance Notes:</w:t>
      </w:r>
    </w:p>
    <w:p>
      <w:pPr>
        <w:numPr>
          <w:ilvl w:val="0"/>
          <w:numId w:val="1006"/>
        </w:numPr>
        <w:pStyle w:val="Compact"/>
      </w:pPr>
      <w:r>
        <w:rPr>
          <w:bCs/>
          <w:b/>
        </w:rPr>
        <w:t xml:space="preserve">Scope 1 Emissions:</w:t>
      </w:r>
      <w:r>
        <w:t xml:space="preserve"> </w:t>
      </w:r>
      <w:r>
        <w:t xml:space="preserve">Direct emissions from sources owned or controlled by pkkshsetnv are assumed to be negligible for the product\'s manufacturing stage in this analysis, focusing primarily on indirect emissions from purchased electricity. For a full organizational GHG inventory, these would be directly quantified.</w:t>
      </w:r>
    </w:p>
    <w:p>
      <w:pPr>
        <w:numPr>
          <w:ilvl w:val="0"/>
          <w:numId w:val="1006"/>
        </w:numPr>
        <w:pStyle w:val="Compact"/>
      </w:pPr>
      <w:r>
        <w:rPr>
          <w:bCs/>
          <w:b/>
        </w:rPr>
        <w:t xml:space="preserve">Scope 2 Emissions:</w:t>
      </w:r>
      <w:r>
        <w:t xml:space="preserve"> </w:t>
      </w:r>
      <w:r>
        <w:t xml:space="preserve">Emissions from purchased electricity for manufacturing are calculated, accounting for the reported renewable energy usage.</w:t>
      </w:r>
    </w:p>
    <w:p>
      <w:pPr>
        <w:numPr>
          <w:ilvl w:val="0"/>
          <w:numId w:val="1006"/>
        </w:numPr>
        <w:pStyle w:val="Compact"/>
      </w:pPr>
      <w:r>
        <w:rPr>
          <w:bCs/>
          <w:b/>
        </w:rPr>
        <w:t xml:space="preserve">Scope 3 Emissions:</w:t>
      </w:r>
      <w:r>
        <w:t xml:space="preserve"> </w:t>
      </w:r>
      <w:r>
        <w:t xml:space="preserve">This analysis covers major Scope 3 categories including Purchased Goods &amp; Services (materials), Upstream/Downstream Transportation, Use of Sold Products, and End-of-Life Treatment. With detailed data for these significant categories, the aim is to ensure at least 95% coverage for Scope 3 reporting as per 2026 requirements. Further disaggregation by data type (primary, secondary, spend-based) would be implemented in a full compliance report to meet enhanced transparency requirements.</w:t>
      </w:r>
    </w:p>
    <w:p>
      <w:pPr>
        <w:numPr>
          <w:ilvl w:val="0"/>
          <w:numId w:val="1006"/>
        </w:numPr>
        <w:pStyle w:val="Compact"/>
      </w:pPr>
      <w:r>
        <w:rPr>
          <w:bCs/>
          <w:b/>
        </w:rPr>
        <w:t xml:space="preserve">2026 LSR Update:</w:t>
      </w:r>
      <w:r>
        <w:t xml:space="preserve"> </w:t>
      </w:r>
      <w:r>
        <w:t xml:space="preserve">The Land Sector and Removals (LSR) Standard v1.0, released in January 2026 and effective January 1, 2027, provides a framework for accounting for land-related GHG emissions and CO2 removals. While specific land use data for glydjzkqlx\'s components was not provided, future analyses would integrate relevant LSR methodologies, especially if raw materials involve significant agricultural or forestry activities, or if carbon removal initiatives are part of the value chain. It is noted that forest carbon accounting is currently excluded from this version of the LSR Standard but may be addressed in future updates.</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s-identification"/>
    <w:p>
      <w:pPr>
        <w:pStyle w:val="Heading3"/>
      </w:pPr>
      <w:r>
        <w:t xml:space="preserve">Hotspots Identification</w:t>
      </w:r>
    </w:p>
    <w:p>
      <w:pPr>
        <w:pStyle w:val="FirstParagraph"/>
      </w:pPr>
      <w:r>
        <w:t xml:space="preserve">Based on the calculations, the primary carbon hotspot for glydjzkqlx is identified as the</w:t>
      </w:r>
      <w:r>
        <w:t xml:space="preserve"> </w:t>
      </w:r>
      <w:r>
        <w:rPr>
          <w:bCs/>
          <w:b/>
        </w:rPr>
        <w:t xml:space="preserve">Use Phase (52.50 kgCO2e)</w:t>
      </w:r>
      <w:r>
        <w:t xml:space="preserve">, constituting approximately 88.8% of the total PCF. This is largely driven by the product\'s lifespan and its energy consumption during active use. Material acquisition and production (3.5354 kgCO2e) and manufacturing (2.70 kgCO2e) are also notable contributors, while transportation and end-of-life phases have a comparatively smaller, but still significant, impact.</w:t>
      </w:r>
    </w:p>
    <w:bookmarkEnd w:id="42"/>
    <w:bookmarkStart w:id="43" w:name="reliability-and-limitations"/>
    <w:p>
      <w:pPr>
        <w:pStyle w:val="Heading3"/>
      </w:pPr>
      <w:r>
        <w:t xml:space="preserve">Reliability and Limitations</w:t>
      </w:r>
    </w:p>
    <w:p>
      <w:pPr>
        <w:pStyle w:val="FirstParagraph"/>
      </w:pPr>
      <w:r>
        <w:t xml:space="preserve">The reliability of this report is dependent on the accuracy and completeness of the provided parameters and the illustrative emission factors used. Key limitations include:</w:t>
      </w:r>
    </w:p>
    <w:p>
      <w:pPr>
        <w:numPr>
          <w:ilvl w:val="0"/>
          <w:numId w:val="1007"/>
        </w:numPr>
        <w:pStyle w:val="Compact"/>
      </w:pPr>
      <w:r>
        <w:rPr>
          <w:bCs/>
          <w:b/>
        </w:rPr>
        <w:t xml:space="preserve">Illustrative Emission Factors:</w:t>
      </w:r>
      <w:r>
        <w:t xml:space="preserve"> </w:t>
      </w:r>
      <w:r>
        <w:t xml:space="preserve">Many emission factors are based on publicly available averages or illustrative values due to the generic nature of some input parameters. For a certified PCF, specific, primary data and region-specific emission factors from verified databases (e.g., Ecoinvent, GaBi, DEFRA) would be critical.</w:t>
      </w:r>
    </w:p>
    <w:p>
      <w:pPr>
        <w:numPr>
          <w:ilvl w:val="0"/>
          <w:numId w:val="1007"/>
        </w:numPr>
        <w:pStyle w:val="Compact"/>
      </w:pPr>
      <w:r>
        <w:rPr>
          <w:bCs/>
          <w:b/>
        </w:rPr>
        <w:t xml:space="preserve">Data Assumptions:</w:t>
      </w:r>
      <w:r>
        <w:t xml:space="preserve"> </w:t>
      </w:r>
      <w:r>
        <w:t xml:space="preserve">Assumptions have been made for certain parameters, such as specific transport distances, modes, and the regional electricity mix for the use phase, where precise data was not provided.</w:t>
      </w:r>
    </w:p>
    <w:p>
      <w:pPr>
        <w:numPr>
          <w:ilvl w:val="0"/>
          <w:numId w:val="1007"/>
        </w:numPr>
        <w:pStyle w:val="Compact"/>
      </w:pPr>
      <w:r>
        <w:rPr>
          <w:bCs/>
          <w:b/>
        </w:rPr>
        <w:t xml:space="preserve">Scope 1 Granularity:</w:t>
      </w:r>
      <w:r>
        <w:t xml:space="preserve"> </w:t>
      </w:r>
      <w:r>
        <w:t xml:space="preserve">Direct (Scope 1) emissions at the manufacturing facility were assumed to be negligible and are not explicitly calculated, focusing on electricity use.</w:t>
      </w:r>
    </w:p>
    <w:p>
      <w:pPr>
        <w:numPr>
          <w:ilvl w:val="0"/>
          <w:numId w:val="1007"/>
        </w:numPr>
        <w:pStyle w:val="Compact"/>
      </w:pPr>
      <w:r>
        <w:rPr>
          <w:bCs/>
          <w:b/>
        </w:rPr>
        <w:t xml:space="preserve">Dynamic Nature:</w:t>
      </w:r>
      <w:r>
        <w:t xml:space="preserve"> </w:t>
      </w:r>
      <w:r>
        <w:t xml:space="preserve">Emission factors and energy mixes can change over time. This report represents a snapshot based on current illustrative data.</w:t>
      </w:r>
    </w:p>
    <w:bookmarkEnd w:id="43"/>
    <w:bookmarkStart w:id="44" w:name="recommendations-for-pkkshsetnv"/>
    <w:p>
      <w:pPr>
        <w:pStyle w:val="Heading3"/>
      </w:pPr>
      <w:r>
        <w:t xml:space="preserve">Recommendations for pkkshsetnv</w:t>
      </w:r>
    </w:p>
    <w:p>
      <w:pPr>
        <w:numPr>
          <w:ilvl w:val="0"/>
          <w:numId w:val="1008"/>
        </w:numPr>
        <w:pStyle w:val="Compact"/>
      </w:pPr>
      <w:r>
        <w:rPr>
          <w:bCs/>
          <w:b/>
        </w:rPr>
        <w:t xml:space="preserve">Optimize Use Phase Efficiency:</w:t>
      </w:r>
      <w:r>
        <w:t xml:space="preserve"> </w:t>
      </w:r>
      <w:r>
        <w:t xml:space="preserve">Given the significant impact of the use phase, prioritize energy efficiency improvements in glydjzkqlx. This could involve design changes to reduce operational energy consumption, exploring low-power modes, or providing clearer guidance to users on energy-saving practices.</w:t>
      </w:r>
    </w:p>
    <w:p>
      <w:pPr>
        <w:numPr>
          <w:ilvl w:val="0"/>
          <w:numId w:val="1008"/>
        </w:numPr>
        <w:pStyle w:val="Compact"/>
      </w:pPr>
      <w:r>
        <w:rPr>
          <w:bCs/>
          <w:b/>
        </w:rPr>
        <w:t xml:space="preserve">Enhance Supply Chain Data:</w:t>
      </w:r>
      <w:r>
        <w:t xml:space="preserve"> </w:t>
      </w:r>
      <w:r>
        <w:t xml:space="preserve">Collaborate with key suppliers to obtain primary, activity-based data for materials and processes. This will significantly improve the accuracy of Scope 3, Category 1 emissions.</w:t>
      </w:r>
    </w:p>
    <w:p>
      <w:pPr>
        <w:numPr>
          <w:ilvl w:val="0"/>
          <w:numId w:val="1008"/>
        </w:numPr>
        <w:pStyle w:val="Compact"/>
      </w:pPr>
      <w:r>
        <w:rPr>
          <w:bCs/>
          <w:b/>
        </w:rPr>
        <w:t xml:space="preserve">Sustainable Material Sourcing:</w:t>
      </w:r>
      <w:r>
        <w:t xml:space="preserve"> </w:t>
      </w:r>
      <w:r>
        <w:t xml:space="preserve">Investigate opportunities to source lower-carbon alternative materials, particularly for components like the PCB and battery, or increase the use of recycled content for plastics and metals.</w:t>
      </w:r>
    </w:p>
    <w:p>
      <w:pPr>
        <w:numPr>
          <w:ilvl w:val="0"/>
          <w:numId w:val="1008"/>
        </w:numPr>
        <w:pStyle w:val="Compact"/>
      </w:pPr>
      <w:r>
        <w:rPr>
          <w:bCs/>
          <w:b/>
        </w:rPr>
        <w:t xml:space="preserve">Logistics Optimization:</w:t>
      </w:r>
      <w:r>
        <w:t xml:space="preserve"> </w:t>
      </w:r>
      <w:r>
        <w:t xml:space="preserve">Explore more efficient transportation modes (e.g., rail, sea where feasible) and optimize routing to reduce freight emissions.</w:t>
      </w:r>
    </w:p>
    <w:p>
      <w:pPr>
        <w:numPr>
          <w:ilvl w:val="0"/>
          <w:numId w:val="1008"/>
        </w:numPr>
        <w:pStyle w:val="Compact"/>
      </w:pPr>
      <w:r>
        <w:rPr>
          <w:bCs/>
          <w:b/>
        </w:rPr>
        <w:t xml:space="preserve">Strengthen Circularity:</w:t>
      </w:r>
      <w:r>
        <w:t xml:space="preserve"> </w:t>
      </w:r>
      <w:r>
        <w:t xml:space="preserve">Continue to expand and promote circular/take-back programs (fwvimsiddy) to maximize material recovery and reduce end-of-life impacts. Consider design-for-disassembly to facilitate recycling.</w:t>
      </w:r>
    </w:p>
    <w:p>
      <w:pPr>
        <w:numPr>
          <w:ilvl w:val="0"/>
          <w:numId w:val="1008"/>
        </w:numPr>
        <w:pStyle w:val="Compact"/>
      </w:pPr>
      <w:r>
        <w:rPr>
          <w:bCs/>
          <w:b/>
        </w:rPr>
        <w:t xml:space="preserve">LSR Standard Integration:</w:t>
      </w:r>
      <w:r>
        <w:t xml:space="preserve"> </w:t>
      </w:r>
      <w:r>
        <w:t xml:space="preserve">If pkkshsetnv\'s operations or value chain include significant land-based activities, begin assessing the impact of the GHG Protocol\'s new Land Sector and Removals (LSR) Standard to prepare for its effective date in 2027.</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glydjzkqlx</dc:title>
  <dc:creator/>
  <dc:description>Detailed Product Carbon Footprint (PCF) analysis for glydjzkqlx by wpzjumxudf, Senior Sustainability Consultant at pkkshsetnv, adhering to GHG Protocol standards and 2026 updates.</dc:description>
  <dc:language>en</dc:language>
  <cp:keywords/>
  <dcterms:created xsi:type="dcterms:W3CDTF">2026-07-15T07:04:32Z</dcterms:created>
  <dcterms:modified xsi:type="dcterms:W3CDTF">2026-07-15T07:04:32Z</dcterms:modified>
</cp:coreProperties>
</file>

<file path=docProps/custom.xml><?xml version="1.0" encoding="utf-8"?>
<Properties xmlns="http://schemas.openxmlformats.org/officeDocument/2006/custom-properties" xmlns:vt="http://schemas.openxmlformats.org/officeDocument/2006/docPropsVTypes"/>
</file>