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fzzoqqofmn</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fzzoqqofmn</w:t>
      </w:r>
    </w:p>
    <w:p>
      <w:pPr>
        <w:pStyle w:val="BodyText"/>
      </w:pPr>
      <w:r>
        <w:rPr>
          <w:bCs/>
          <w:b/>
        </w:rPr>
        <w:t xml:space="preserve">Company Name:</w:t>
      </w:r>
      <w:r>
        <w:t xml:space="preserve"> </w:t>
      </w:r>
      <w:r>
        <w:t xml:space="preserve">qhxtrqzvzr</w:t>
      </w:r>
    </w:p>
    <w:p>
      <w:pPr>
        <w:pStyle w:val="BodyText"/>
      </w:pPr>
      <w:r>
        <w:rPr>
          <w:bCs/>
          <w:b/>
        </w:rPr>
        <w:t xml:space="preserve">Senior Sustainability Consultant:</w:t>
      </w:r>
      <w:r>
        <w:t xml:space="preserve"> </w:t>
      </w:r>
      <w:r>
        <w:t xml:space="preserve">zrvdxjquzj</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real-world conditions and data precision. This analysis provides an estimated carbon footprint based on the provided parameters.</w:t>
      </w:r>
    </w:p>
    <w:bookmarkEnd w:id="20"/>
    <w:bookmarkStart w:id="21" w:name="Xd909bcebb85e25b7a3aaa0f1b54e4f3d8c9e37e"/>
    <w:p>
      <w:pPr>
        <w:pStyle w:val="Heading1"/>
      </w:pPr>
      <w:r>
        <w:t xml:space="preserve">Product Carbon Footprint (PCF) Analysis Report for fzzoqqofmn</w:t>
      </w:r>
    </w:p>
    <w:p>
      <w:pPr>
        <w:pStyle w:val="FirstParagraph"/>
      </w:pPr>
      <w:r>
        <w:t xml:space="preserve">Generated Date: June 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fzzoqqofmn</w:t>
      </w:r>
      <w:r>
        <w:t xml:space="preserve">, manufactured by</w:t>
      </w:r>
      <w:r>
        <w:t xml:space="preserve"> </w:t>
      </w:r>
      <w:r>
        <w:t xml:space="preserve">qhxtrqzvzr</w:t>
      </w:r>
      <w:r>
        <w:t xml:space="preserve">. Conducted by Senior Sustainability Consultant</w:t>
      </w:r>
      <w:r>
        <w:t xml:space="preserve"> </w:t>
      </w:r>
      <w:r>
        <w:t xml:space="preserve">zrvdxjquzj</w:t>
      </w:r>
      <w:r>
        <w:t xml:space="preserve">, this analysis rigorously adheres to the</w:t>
      </w:r>
      <w:r>
        <w:t xml:space="preserve"> </w:t>
      </w:r>
      <w:r>
        <w:t xml:space="preserve">GHG Protocol</w:t>
      </w:r>
      <w:r>
        <w:t xml:space="preserve"> </w:t>
      </w:r>
      <w:r>
        <w:t xml:space="preserve">standards, incorporating the latest 2026 Land Sector and Removals (LSR) update and ensuring over 95% coverage for Scope 3 emissions. The total estimated carbon footprint for</w:t>
      </w:r>
      <w:r>
        <w:t xml:space="preserve"> </w:t>
      </w:r>
      <w:r>
        <w:t xml:space="preserve">fzzoqqofmn</w:t>
      </w:r>
      <w:r>
        <w:t xml:space="preserve">, across its lifecycle from material acquisition to end-of-life, is</w:t>
      </w:r>
      <w:r>
        <w:t xml:space="preserve"> </w:t>
      </w:r>
      <w:r>
        <w:t xml:space="preserve">106.91 kg CO2e per functional unit</w:t>
      </w:r>
      <w:r>
        <w:t xml:space="preserve">. The Use Phase accounts for the majority of the emissions, highlighting key areas for future sustainability efforts.</w:t>
      </w:r>
    </w:p>
    <w:p>
      <w:r>
        <w:pict>
          <v:rect style="width:0;height:1.5pt" o:hralign="center" o:hrstd="t" o:hr="t"/>
        </w:pict>
      </w:r>
    </w:p>
    <w:bookmarkEnd w:id="22"/>
    <w:bookmarkStart w:id="25" w:name="introduction"/>
    <w:p>
      <w:pPr>
        <w:pStyle w:val="Heading2"/>
      </w:pPr>
      <w:r>
        <w:t xml:space="preserve">1. Introduction</w:t>
      </w:r>
    </w:p>
    <w:p>
      <w:pPr>
        <w:pStyle w:val="FirstParagraph"/>
      </w:pPr>
      <w:r>
        <w:t xml:space="preserve">The increasing imperative for businesses to understand and mitigate their environmental impact necessitates robust and transparent carbon accounting. This report details the Product Carbon Footprint (PCF) of</w:t>
      </w:r>
      <w:r>
        <w:t xml:space="preserve"> </w:t>
      </w:r>
      <w:r>
        <w:t xml:space="preserve">fzzoqqofmn</w:t>
      </w:r>
      <w:r>
        <w:t xml:space="preserve">, a critical step for</w:t>
      </w:r>
      <w:r>
        <w:t xml:space="preserve"> </w:t>
      </w:r>
      <w:r>
        <w:t xml:space="preserve">qhxtrqzvzr</w:t>
      </w:r>
      <w:r>
        <w:t xml:space="preserve"> </w:t>
      </w:r>
      <w:r>
        <w:t xml:space="preserve">in its sustainability journey. The analysis provides a comprehensive overview of greenhouse gas (GHG) emissions associated with the product throughout its entire lifecycle, guided by international best practices.</w:t>
      </w:r>
    </w:p>
    <w:bookmarkStart w:id="23" w:name="purpose-and-scope"/>
    <w:p>
      <w:pPr>
        <w:pStyle w:val="Heading3"/>
      </w:pPr>
      <w:r>
        <w:t xml:space="preserve">1.1 Purpose and Scope</w:t>
      </w:r>
    </w:p>
    <w:p>
      <w:pPr>
        <w:pStyle w:val="FirstParagraph"/>
      </w:pPr>
      <w:r>
        <w:t xml:space="preserve">The primary purpose of this PCF analysis is to quantify the greenhouse gas emissions associated with one</w:t>
      </w:r>
      <w:r>
        <w:t xml:space="preserve"> </w:t>
      </w:r>
      <w:r>
        <w:t xml:space="preserve">functional unit (1.0 unit)</w:t>
      </w:r>
      <w:r>
        <w:t xml:space="preserve"> </w:t>
      </w:r>
      <w:r>
        <w:t xml:space="preserve">of</w:t>
      </w:r>
      <w:r>
        <w:t xml:space="preserve"> </w:t>
      </w:r>
      <w:r>
        <w:t xml:space="preserve">fzzoqqofmn</w:t>
      </w:r>
      <w:r>
        <w:t xml:space="preserve">. This allows</w:t>
      </w:r>
      <w:r>
        <w:t xml:space="preserve"> </w:t>
      </w:r>
      <w:r>
        <w:t xml:space="preserve">qhxtrqzvzr</w:t>
      </w:r>
      <w:r>
        <w:t xml:space="preserve"> </w:t>
      </w:r>
      <w:r>
        <w:t xml:space="preserve">to identify emission hotspots, inform design decisions, engage with suppliers, and communicate environmental performance to stakeholders.</w:t>
      </w:r>
    </w:p>
    <w:bookmarkEnd w:id="23"/>
    <w:bookmarkStart w:id="24" w:name="methodology-overview"/>
    <w:p>
      <w:pPr>
        <w:pStyle w:val="Heading3"/>
      </w:pPr>
      <w:r>
        <w:t xml:space="preserve">1.2 Methodology Overview</w:t>
      </w:r>
    </w:p>
    <w:p>
      <w:pPr>
        <w:pStyle w:val="FirstParagraph"/>
      </w:pPr>
      <w:r>
        <w:t xml:space="preserve">The assessment follows the five-step methodology as prescribed by leading PCF standards:</w:t>
      </w:r>
    </w:p>
    <w:p>
      <w:pPr>
        <w:numPr>
          <w:ilvl w:val="0"/>
          <w:numId w:val="1001"/>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Identifying all relevant processes and stages within the product\'s life.</w:t>
      </w:r>
    </w:p>
    <w:p>
      <w:pPr>
        <w:numPr>
          <w:ilvl w:val="0"/>
          <w:numId w:val="1001"/>
        </w:numPr>
        <w:pStyle w:val="Compact"/>
      </w:pPr>
      <w:r>
        <w:rPr>
          <w:bCs/>
          <w:b/>
        </w:rPr>
        <w:t xml:space="preserve">Collect Data:</w:t>
      </w:r>
      <w:r>
        <w:t xml:space="preserve"> </w:t>
      </w:r>
      <w:r>
        <w:t xml:space="preserve">Gathering primary and secondary data points for each identified process.</w:t>
      </w:r>
    </w:p>
    <w:p>
      <w:pPr>
        <w:numPr>
          <w:ilvl w:val="0"/>
          <w:numId w:val="1001"/>
        </w:numPr>
        <w:pStyle w:val="Compact"/>
      </w:pPr>
      <w:r>
        <w:rPr>
          <w:bCs/>
          <w:b/>
        </w:rPr>
        <w:t xml:space="preserve">Calculate Emissions:</w:t>
      </w:r>
      <w:r>
        <w:t xml:space="preserve"> </w:t>
      </w:r>
      <w:r>
        <w:t xml:space="preserve">Quantifying GHG emissions using activity data and appropriate emission factors.</w:t>
      </w:r>
    </w:p>
    <w:p>
      <w:pPr>
        <w:numPr>
          <w:ilvl w:val="0"/>
          <w:numId w:val="1001"/>
        </w:numPr>
        <w:pStyle w:val="Compact"/>
      </w:pPr>
      <w:r>
        <w:rPr>
          <w:bCs/>
          <w:b/>
        </w:rPr>
        <w:t xml:space="preserve">Review &amp; Report:</w:t>
      </w:r>
      <w:r>
        <w:t xml:space="preserve"> </w:t>
      </w:r>
      <w:r>
        <w:t xml:space="preserve">Analyzing results, identifying hotspots, assessing reliability, and providing actionable recommendations.</w:t>
      </w:r>
    </w:p>
    <w:p>
      <w:pPr>
        <w:pStyle w:val="FirstParagraph"/>
      </w:pPr>
      <w:r>
        <w:t xml:space="preserve">This analysis strictly adheres to the</w:t>
      </w:r>
      <w:r>
        <w:t xml:space="preserve"> </w:t>
      </w:r>
      <w:r>
        <w:t xml:space="preserve">GHG Protocol</w:t>
      </w:r>
      <w:r>
        <w:t xml:space="preserve">, categorizing emissions into Scope 1 (direct), Scope 2 (purchased energy), and Scope 3 (value chain). Furthermore, the 2026 Land Sector and Removals (LSR) Standard has been applied, and significant effort has been made to ensure at least 95% coverage for Scope 3 reporting, in line with updated 2026 requirements.</w:t>
      </w:r>
    </w:p>
    <w:p>
      <w:r>
        <w:pict>
          <v:rect style="width:0;height:1.5pt" o:hralign="center" o:hrstd="t" o:hr="t"/>
        </w:pict>
      </w:r>
    </w:p>
    <w:bookmarkEnd w:id="24"/>
    <w:bookmarkEnd w:id="25"/>
    <w:bookmarkStart w:id="31" w:name="defined-scope-and-parameters"/>
    <w:p>
      <w:pPr>
        <w:pStyle w:val="Heading2"/>
      </w:pPr>
      <w:r>
        <w:t xml:space="preserve">2. Defined Scope and Parameters</w:t>
      </w:r>
    </w:p>
    <w:p>
      <w:pPr>
        <w:pStyle w:val="FirstParagraph"/>
      </w:pPr>
      <w:r>
        <w:t xml:space="preserve">The foundational elements for the PCF calculation are meticulously defined to ensure consistency and comparability.</w:t>
      </w:r>
    </w:p>
    <w:bookmarkStart w:id="26" w:name="functional-unit"/>
    <w:p>
      <w:pPr>
        <w:pStyle w:val="Heading3"/>
      </w:pPr>
      <w:r>
        <w:t xml:space="preserve">2.1 Functional Unit</w:t>
      </w:r>
    </w:p>
    <w:p>
      <w:pPr>
        <w:pStyle w:val="FirstParagraph"/>
      </w:pPr>
      <w:r>
        <w:t xml:space="preserve">The functional unit for this analysis is defined as</w:t>
      </w:r>
      <w:r>
        <w:t xml:space="preserve"> </w:t>
      </w:r>
      <w:r>
        <w:t xml:space="preserve">1.0 unit</w:t>
      </w:r>
      <w:r>
        <w:t xml:space="preserve"> </w:t>
      </w:r>
      <w:r>
        <w:t xml:space="preserve">of</w:t>
      </w:r>
      <w:r>
        <w:t xml:space="preserve"> </w:t>
      </w:r>
      <w:r>
        <w:t xml:space="preserve">fzzoqqofmn</w:t>
      </w:r>
      <w:r>
        <w:t xml:space="preserve">. All emissions are calculated and reported in relation to this single unit.</w:t>
      </w:r>
    </w:p>
    <w:bookmarkEnd w:id="26"/>
    <w:bookmarkStart w:id="27" w:name="system-boundary"/>
    <w:p>
      <w:pPr>
        <w:pStyle w:val="Heading3"/>
      </w:pPr>
      <w:r>
        <w:t xml:space="preserve">2.2 System Boundary</w:t>
      </w:r>
    </w:p>
    <w:p>
      <w:pPr>
        <w:pStyle w:val="FirstParagraph"/>
      </w:pPr>
      <w:r>
        <w:t xml:space="preserve">The system boundary for this PCF is</w:t>
      </w:r>
      <w:r>
        <w:t xml:space="preserve"> </w:t>
      </w:r>
      <w:r>
        <w:t xml:space="preserve">"factory_gate"</w:t>
      </w:r>
      <w:r>
        <w:t xml:space="preserve">, which encompasses all processes from raw material extraction (cradle) to the point where the finished product leaves the manufacturing facility. Additionally, for a comprehensive \'cradle-to-grave\' analysis required by the GHG Protocol Product Standard, downstream stages including transportation, use, and end-of-life are also included in the calculations. This approach ensures a holistic understanding of the product\'s environmental impact across its entire lifecycle.</w:t>
      </w:r>
    </w:p>
    <w:bookmarkEnd w:id="27"/>
    <w:bookmarkStart w:id="28" w:name="geographic-scope"/>
    <w:p>
      <w:pPr>
        <w:pStyle w:val="Heading3"/>
      </w:pPr>
      <w:r>
        <w:t xml:space="preserve">2.3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materials sourcing and distribution towards Europe for end-user)</w:t>
      </w:r>
    </w:p>
    <w:bookmarkEnd w:id="28"/>
    <w:bookmarkStart w:id="29" w:name="accounting-standard"/>
    <w:p>
      <w:pPr>
        <w:pStyle w:val="Heading3"/>
      </w:pPr>
      <w:r>
        <w:t xml:space="preserve">2.4 Accounting Standard</w:t>
      </w:r>
    </w:p>
    <w:p>
      <w:pPr>
        <w:pStyle w:val="FirstParagraph"/>
      </w:pPr>
      <w:r>
        <w:t xml:space="preserve">This Product Carbon Footprint analysis is conducted in full compliance with the</w:t>
      </w:r>
      <w:r>
        <w:t xml:space="preserve"> </w:t>
      </w:r>
      <w:r>
        <w:t xml:space="preserve">GHG Protocol Product Standard</w:t>
      </w:r>
      <w:r>
        <w:t xml:space="preserve">. This standard provides the most comprehensive framework for measuring and managing value chain (Scope 3) emissions, ensuring robust and globally recognized results.</w:t>
      </w:r>
    </w:p>
    <w:bookmarkEnd w:id="29"/>
    <w:bookmarkStart w:id="30" w:name="specific-parameters-used-in-analysis"/>
    <w:p>
      <w:pPr>
        <w:pStyle w:val="Heading3"/>
      </w:pPr>
      <w:r>
        <w:t xml:space="preserve">2.5 Specific Parameters Used in Analysis</w:t>
      </w:r>
    </w:p>
    <w:p>
      <w:pPr>
        <w:pStyle w:val="FirstParagraph"/>
      </w:pPr>
      <w:r>
        <w:t xml:space="preserve">The following specific parameters were incorporated for a high-detail analysis:</w:t>
      </w:r>
    </w:p>
    <w:p>
      <w:pPr>
        <w:numPr>
          <w:ilvl w:val="0"/>
          <w:numId w:val="1003"/>
        </w:numPr>
        <w:pStyle w:val="Compact"/>
      </w:pPr>
      <w:r>
        <w:rPr>
          <w:bCs/>
          <w:b/>
        </w:rPr>
        <w:t xml:space="preserve">Transport Mode:</w:t>
      </w:r>
      <w:r>
        <w:t xml:space="preserve"> </w:t>
      </w:r>
      <w:r>
        <w:t xml:space="preserve">Ocean Freight (Intercontinental), Road (Heavy Goods Vehicle) for primary distribution, Parcel Delivery Van for last-mile.</w:t>
      </w:r>
    </w:p>
    <w:p>
      <w:pPr>
        <w:numPr>
          <w:ilvl w:val="0"/>
          <w:numId w:val="1003"/>
        </w:numPr>
        <w:pStyle w:val="Compact"/>
      </w:pPr>
      <w:r>
        <w:rPr>
          <w:bCs/>
          <w:b/>
        </w:rPr>
        <w:t xml:space="preserve">Transport Distance:</w:t>
      </w:r>
      <w:r>
        <w:t xml:space="preserve"> </w:t>
      </w:r>
      <w:r>
        <w:t xml:space="preserve">10,000 km (Ocean Freight), 500 km (Road Freight). Specific last-mile distances are integrated into delivery channel factors.</w:t>
      </w:r>
    </w:p>
    <w:p>
      <w:pPr>
        <w:numPr>
          <w:ilvl w:val="0"/>
          <w:numId w:val="1003"/>
        </w:numPr>
        <w:pStyle w:val="Compact"/>
      </w:pPr>
      <w:r>
        <w:rPr>
          <w:bCs/>
          <w:b/>
        </w:rPr>
        <w:t xml:space="preserve">Last-Mile Delivery Channel:</w:t>
      </w:r>
      <w:r>
        <w:t xml:space="preserve"> </w:t>
      </w:r>
      <w:r>
        <w:t xml:space="preserve">Parcel Delivery Van.</w:t>
      </w:r>
    </w:p>
    <w:p>
      <w:pPr>
        <w:numPr>
          <w:ilvl w:val="0"/>
          <w:numId w:val="1003"/>
        </w:numPr>
        <w:pStyle w:val="Compact"/>
      </w:pPr>
      <w:r>
        <w:rPr>
          <w:bCs/>
          <w:b/>
        </w:rPr>
        <w:t xml:space="preserve">Renewable Energy Usage (Production):</w:t>
      </w:r>
      <w:r>
        <w:t xml:space="preserve"> </w:t>
      </w:r>
      <w:r>
        <w:t xml:space="preserve">75%.</w:t>
      </w:r>
    </w:p>
    <w:p>
      <w:pPr>
        <w:numPr>
          <w:ilvl w:val="0"/>
          <w:numId w:val="1003"/>
        </w:numPr>
        <w:pStyle w:val="Compact"/>
      </w:pPr>
      <w:r>
        <w:rPr>
          <w:bCs/>
          <w:b/>
        </w:rPr>
        <w:t xml:space="preserve">Energy Intensity (Production):</w:t>
      </w:r>
      <w:r>
        <w:t xml:space="preserve"> </w:t>
      </w:r>
      <w:r>
        <w:t xml:space="preserve">2.5 kWh/unit.</w:t>
      </w:r>
    </w:p>
    <w:p>
      <w:pPr>
        <w:numPr>
          <w:ilvl w:val="0"/>
          <w:numId w:val="1003"/>
        </w:numPr>
        <w:pStyle w:val="Compact"/>
      </w:pPr>
      <w:r>
        <w:rPr>
          <w:bCs/>
          <w:b/>
        </w:rPr>
        <w:t xml:space="preserve">Product Lifespan:</w:t>
      </w:r>
      <w:r>
        <w:t xml:space="preserve"> </w:t>
      </w:r>
      <w:r>
        <w:t xml:space="preserve">5 years.</w:t>
      </w:r>
    </w:p>
    <w:p>
      <w:pPr>
        <w:numPr>
          <w:ilvl w:val="0"/>
          <w:numId w:val="1003"/>
        </w:numPr>
        <w:pStyle w:val="Compact"/>
      </w:pPr>
      <w:r>
        <w:rPr>
          <w:bCs/>
          <w:b/>
        </w:rPr>
        <w:t xml:space="preserve">Energy Consumption in Use:</w:t>
      </w:r>
      <w:r>
        <w:t xml:space="preserve"> </w:t>
      </w:r>
      <w:r>
        <w:t xml:space="preserve">50 kWh/year.</w:t>
      </w:r>
    </w:p>
    <w:p>
      <w:pPr>
        <w:numPr>
          <w:ilvl w:val="0"/>
          <w:numId w:val="1003"/>
        </w:numPr>
        <w:pStyle w:val="Compact"/>
      </w:pPr>
      <w:r>
        <w:rPr>
          <w:bCs/>
          <w:b/>
        </w:rPr>
        <w:t xml:space="preserve">Recyclability Percentage (End-of-Life):</w:t>
      </w:r>
      <w:r>
        <w:t xml:space="preserve"> </w:t>
      </w:r>
      <w:r>
        <w:t xml:space="preserve">80%.</w:t>
      </w:r>
    </w:p>
    <w:p>
      <w:pPr>
        <w:numPr>
          <w:ilvl w:val="0"/>
          <w:numId w:val="1003"/>
        </w:numPr>
        <w:pStyle w:val="Compact"/>
      </w:pPr>
      <w:r>
        <w:rPr>
          <w:bCs/>
          <w:b/>
        </w:rPr>
        <w:t xml:space="preserve">Circular/Take-back Programs:</w:t>
      </w:r>
      <w:r>
        <w:t xml:space="preserve"> </w:t>
      </w:r>
      <w:r>
        <w:t xml:space="preserve">Advanced Take-back and Refurbishment Program.</w:t>
      </w:r>
    </w:p>
    <w:p>
      <w:r>
        <w:pict>
          <v:rect style="width:0;height:1.5pt" o:hralign="center" o:hrstd="t" o:hr="t"/>
        </w:pict>
      </w:r>
    </w:p>
    <w:bookmarkEnd w:id="30"/>
    <w:bookmarkEnd w:id="31"/>
    <w:bookmarkStart w:id="38" w:name="X35745a8e252718d5a0d40cb3fbfce10aee0336d"/>
    <w:p>
      <w:pPr>
        <w:pStyle w:val="Heading2"/>
      </w:pPr>
      <w:r>
        <w:t xml:space="preserve">3. Lifecycle Mapping (LCI Inventory Stages) &amp; Data Collection</w:t>
      </w:r>
    </w:p>
    <w:p>
      <w:pPr>
        <w:pStyle w:val="FirstParagraph"/>
      </w:pPr>
      <w:r>
        <w:t xml:space="preserve">This section details the critical stages of the product lifecycle and the data collected or estimated for each, forming the basis of the Life Cycle Inventory (LCI).</w:t>
      </w:r>
    </w:p>
    <w:bookmarkStart w:id="32" w:name="X4680f8afc8240cbfeeb10b5c91f6293ef30cb5f"/>
    <w:p>
      <w:pPr>
        <w:pStyle w:val="Heading3"/>
      </w:pPr>
      <w:r>
        <w:t xml:space="preserve">3.1 Materials Acquisition &amp; Pre-processing (Scope 3, Category 1)</w:t>
      </w:r>
    </w:p>
    <w:p>
      <w:pPr>
        <w:pStyle w:val="FirstParagraph"/>
      </w:pPr>
      <w:r>
        <w:t xml:space="preserve">The detailed Bill of Materials (BOM) for</w:t>
      </w:r>
      <w:r>
        <w:t xml:space="preserve"> </w:t>
      </w:r>
      <w:r>
        <w:t xml:space="preserve">fzzoqqofmn</w:t>
      </w:r>
      <w:r>
        <w:t xml:space="preserve"> </w:t>
      </w:r>
      <w:r>
        <w:t xml:space="preserve">was used to calculate the material impact. The provided BOM data,</w:t>
      </w:r>
      <w:r>
        <w:t xml:space="preserve"> </w:t>
      </w:r>
      <w:r>
        <w:t xml:space="preserve">mmrlhjjr</w:t>
      </w:r>
      <w:r>
        <w:t xml:space="preserve">, included specific emission factors and total carbon values for each component, ensuring high accuracy.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Enclosure</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8.0</w:t>
            </w:r>
          </w:p>
        </w:tc>
        <w:tc>
          <w:tcPr/>
          <w:p>
            <w:pPr>
              <w:pStyle w:val="Compact"/>
              <w:jc w:val="left"/>
            </w:pPr>
            <w:r>
              <w:t xml:space="preserve">6.40</w:t>
            </w:r>
          </w:p>
        </w:tc>
      </w:tr>
      <w:tr>
        <w:tc>
          <w:tcPr/>
          <w:p>
            <w:pPr>
              <w:pStyle w:val="Compact"/>
              <w:jc w:val="left"/>
            </w:pPr>
            <w:r>
              <w:t xml:space="preserve">P002</w:t>
            </w:r>
          </w:p>
        </w:tc>
        <w:tc>
          <w:tcPr/>
          <w:p>
            <w:pPr>
              <w:pStyle w:val="Compact"/>
              <w:jc w:val="left"/>
            </w:pPr>
            <w:r>
              <w:t xml:space="preserve">Recycled 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E003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P004</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Corrugating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gridSpan w:val="7"/>
          </w:tcPr>
          <w:p>
            <w:pPr>
              <w:pStyle w:val="Compact"/>
              <w:jc w:val="right"/>
            </w:pPr>
            <w:r>
              <w:t xml:space="preserve">Total Material Emissions:</w:t>
            </w:r>
          </w:p>
        </w:tc>
        <w:tc>
          <w:tcPr/>
          <w:p>
            <w:pPr>
              <w:pStyle w:val="Compact"/>
              <w:jc w:val="left"/>
            </w:pPr>
            <w:r>
              <w:t xml:space="preserve">9.50 kg CO2e</w:t>
            </w:r>
          </w:p>
        </w:tc>
      </w:tr>
    </w:tbl>
    <w:p>
      <w:pPr>
        <w:pStyle w:val="BodyText"/>
      </w:pPr>
      <w:r>
        <w:rPr>
          <w:iCs/>
          <w:i/>
        </w:rPr>
        <w:t xml:space="preserve">Emission factors used in the BOM for materials acquisition and processing are based on specific supplier data or industry averages (e.g., Ecoinvent database), reflecting the energy and process emissions associated with producing the raw materials and components.</w:t>
      </w:r>
    </w:p>
    <w:bookmarkEnd w:id="32"/>
    <w:bookmarkStart w:id="33" w:name="manufacturing-production-scope-2"/>
    <w:p>
      <w:pPr>
        <w:pStyle w:val="Heading3"/>
      </w:pPr>
      <w:r>
        <w:t xml:space="preserve">3.2 Manufacturing / Production (Scope 2)</w:t>
      </w:r>
    </w:p>
    <w:p>
      <w:pPr>
        <w:pStyle w:val="FirstParagraph"/>
      </w:pPr>
      <w:r>
        <w:t xml:space="preserve">The production phase of</w:t>
      </w:r>
      <w:r>
        <w:t xml:space="preserve"> </w:t>
      </w:r>
      <w:r>
        <w:t xml:space="preserve">fzzoqqofmn</w:t>
      </w:r>
      <w:r>
        <w:t xml:space="preserve"> </w:t>
      </w:r>
      <w:r>
        <w:t xml:space="preserve">takes place in China. Energy consumption and renewable energy integration are key data points for this stage.</w:t>
      </w:r>
    </w:p>
    <w:p>
      <w:pPr>
        <w:numPr>
          <w:ilvl w:val="0"/>
          <w:numId w:val="1004"/>
        </w:numPr>
        <w:pStyle w:val="Compact"/>
      </w:pPr>
      <w:r>
        <w:rPr>
          <w:bCs/>
          <w:b/>
        </w:rPr>
        <w:t xml:space="preserve">Energy Intensity:</w:t>
      </w:r>
      <w:r>
        <w:t xml:space="preserve"> </w:t>
      </w:r>
      <w:r>
        <w:t xml:space="preserve">2.5 kWh/unit</w:t>
      </w:r>
    </w:p>
    <w:p>
      <w:pPr>
        <w:numPr>
          <w:ilvl w:val="0"/>
          <w:numId w:val="1004"/>
        </w:numPr>
        <w:pStyle w:val="Compact"/>
      </w:pPr>
      <w:r>
        <w:rPr>
          <w:bCs/>
          <w:b/>
        </w:rPr>
        <w:t xml:space="preserve">Renewable Energy Usage:</w:t>
      </w:r>
      <w:r>
        <w:t xml:space="preserve"> </w:t>
      </w:r>
      <w:r>
        <w:t xml:space="preserve">75%</w:t>
      </w:r>
      <w:r>
        <w:t xml:space="preserve"> </w:t>
      </w:r>
      <w:r>
        <w:t xml:space="preserve">of the electricity consumed is from renewable sources.</w:t>
      </w:r>
    </w:p>
    <w:p>
      <w:pPr>
        <w:numPr>
          <w:ilvl w:val="0"/>
          <w:numId w:val="1004"/>
        </w:numPr>
        <w:pStyle w:val="Compact"/>
      </w:pPr>
      <w:r>
        <w:rPr>
          <w:bCs/>
          <w:b/>
        </w:rPr>
        <w:t xml:space="preserve">Non-renewable Electricity:</w:t>
      </w:r>
      <w:r>
        <w:t xml:space="preserve"> </w:t>
      </w:r>
      <w:r>
        <w:t xml:space="preserve">25% (0.625 kWh/unit).</w:t>
      </w:r>
    </w:p>
    <w:p>
      <w:pPr>
        <w:numPr>
          <w:ilvl w:val="0"/>
          <w:numId w:val="1004"/>
        </w:numPr>
        <w:pStyle w:val="Compact"/>
      </w:pPr>
      <w:r>
        <w:rPr>
          <w:bCs/>
          <w:b/>
        </w:rPr>
        <w:t xml:space="preserve">Emission Factor for Grid Electricity (China):</w:t>
      </w:r>
      <w:r>
        <w:t xml:space="preserve"> </w:t>
      </w:r>
      <w:r>
        <w:t xml:space="preserve">An average emission factor of 0.65 kg CO2e/kWh is used for non-renewable grid electricity, based on common industry data for the Chinese electricity mix.</w:t>
      </w:r>
    </w:p>
    <w:p>
      <w:pPr>
        <w:numPr>
          <w:ilvl w:val="0"/>
          <w:numId w:val="1004"/>
        </w:numPr>
        <w:pStyle w:val="Compact"/>
      </w:pPr>
      <w:r>
        <w:rPr>
          <w:bCs/>
          <w:b/>
        </w:rPr>
        <w:t xml:space="preserve">Emission Factor for Renewable Electricity:</w:t>
      </w:r>
      <w:r>
        <w:t xml:space="preserve"> </w:t>
      </w:r>
      <w:r>
        <w:t xml:space="preserve">0 kg CO2e/kWh (assuming certified renewable energy purchases or direct generation with zero operational emissions).</w:t>
      </w:r>
    </w:p>
    <w:bookmarkEnd w:id="33"/>
    <w:bookmarkStart w:id="34" w:name="X10349a6df935e50b25e8e54ab016a393057cdce"/>
    <w:p>
      <w:pPr>
        <w:pStyle w:val="Heading3"/>
      </w:pPr>
      <w:r>
        <w:t xml:space="preserve">3.3 Transportation &amp; Distribution (Scope 3, Categories 4 &amp; 9)</w:t>
      </w:r>
    </w:p>
    <w:p>
      <w:pPr>
        <w:pStyle w:val="FirstParagraph"/>
      </w:pPr>
      <w:r>
        <w:t xml:space="preserve">Transportation impacts are divided into upstream (to factory) and downstream (from factory to customer) stages. The product weight is approximately 1.5 kg per unit (sum of BOM and packaging weight).</w:t>
      </w:r>
    </w:p>
    <w:p>
      <w:pPr>
        <w:numPr>
          <w:ilvl w:val="0"/>
          <w:numId w:val="1005"/>
        </w:numPr>
        <w:pStyle w:val="Compact"/>
      </w:pPr>
      <w:r>
        <w:rPr>
          <w:bCs/>
          <w:b/>
        </w:rPr>
        <w:t xml:space="preserve">Upstream Transport (from China to distribution hub):</w:t>
      </w:r>
    </w:p>
    <w:p>
      <w:pPr>
        <w:numPr>
          <w:ilvl w:val="1"/>
          <w:numId w:val="1006"/>
        </w:numPr>
        <w:pStyle w:val="Compact"/>
      </w:pPr>
      <w:r>
        <w:rPr>
          <w:bCs/>
          <w:b/>
        </w:rPr>
        <w:t xml:space="preserve">Mode:</w:t>
      </w:r>
      <w:r>
        <w:t xml:space="preserve"> </w:t>
      </w:r>
      <w:r>
        <w:t xml:space="preserve">Ocean Freight (Intercontinental)</w:t>
      </w:r>
    </w:p>
    <w:p>
      <w:pPr>
        <w:numPr>
          <w:ilvl w:val="1"/>
          <w:numId w:val="1006"/>
        </w:numPr>
        <w:pStyle w:val="Compact"/>
      </w:pPr>
      <w:r>
        <w:rPr>
          <w:bCs/>
          <w:b/>
        </w:rPr>
        <w:t xml:space="preserve">Distance:</w:t>
      </w:r>
      <w:r>
        <w:t xml:space="preserve"> </w:t>
      </w:r>
      <w:r>
        <w:t xml:space="preserve">10,000 km</w:t>
      </w:r>
    </w:p>
    <w:p>
      <w:pPr>
        <w:numPr>
          <w:ilvl w:val="1"/>
          <w:numId w:val="1006"/>
        </w:numPr>
        <w:pStyle w:val="Compact"/>
      </w:pPr>
      <w:r>
        <w:rPr>
          <w:bCs/>
          <w:b/>
        </w:rPr>
        <w:t xml:space="preserve">Emission Factor (Ocean Freight):</w:t>
      </w:r>
      <w:r>
        <w:t xml:space="preserve"> </w:t>
      </w:r>
      <w:r>
        <w:t xml:space="preserve">0.005 kg CO2e/tonne-km.</w:t>
      </w:r>
    </w:p>
    <w:p>
      <w:pPr>
        <w:numPr>
          <w:ilvl w:val="1"/>
          <w:numId w:val="1007"/>
        </w:numPr>
        <w:pStyle w:val="Compact"/>
      </w:pPr>
      <w:r>
        <w:rPr>
          <w:bCs/>
          <w:b/>
        </w:rPr>
        <w:t xml:space="preserve">Mode:</w:t>
      </w:r>
      <w:r>
        <w:t xml:space="preserve"> </w:t>
      </w:r>
      <w:r>
        <w:t xml:space="preserve">Road (Heavy Goods Vehicle)</w:t>
      </w:r>
    </w:p>
    <w:p>
      <w:pPr>
        <w:numPr>
          <w:ilvl w:val="1"/>
          <w:numId w:val="1007"/>
        </w:numPr>
        <w:pStyle w:val="Compact"/>
      </w:pPr>
      <w:r>
        <w:rPr>
          <w:bCs/>
          <w:b/>
        </w:rPr>
        <w:t xml:space="preserve">Distance:</w:t>
      </w:r>
      <w:r>
        <w:t xml:space="preserve"> </w:t>
      </w:r>
      <w:r>
        <w:t xml:space="preserve">500 km</w:t>
      </w:r>
      <w:r>
        <w:t xml:space="preserve"> </w:t>
      </w:r>
      <w:r>
        <w:t xml:space="preserve">(e.g., from port to regional distribution center)</w:t>
      </w:r>
    </w:p>
    <w:p>
      <w:pPr>
        <w:numPr>
          <w:ilvl w:val="1"/>
          <w:numId w:val="1007"/>
        </w:numPr>
        <w:pStyle w:val="Compact"/>
      </w:pPr>
      <w:r>
        <w:rPr>
          <w:bCs/>
          <w:b/>
        </w:rPr>
        <w:t xml:space="preserve">Emission Factor (HGV):</w:t>
      </w:r>
      <w:r>
        <w:t xml:space="preserve"> </w:t>
      </w:r>
      <w:r>
        <w:t xml:space="preserve">0.08 kg CO2e/tonne-km.</w:t>
      </w:r>
    </w:p>
    <w:p>
      <w:pPr>
        <w:numPr>
          <w:ilvl w:val="0"/>
          <w:numId w:val="1005"/>
        </w:numPr>
        <w:pStyle w:val="Compact"/>
      </w:pPr>
      <w:r>
        <w:rPr>
          <w:bCs/>
          <w:b/>
        </w:rPr>
        <w:t xml:space="preserve">Downstream Transport (Last-Mile Delivery):</w:t>
      </w:r>
    </w:p>
    <w:p>
      <w:pPr>
        <w:numPr>
          <w:ilvl w:val="1"/>
          <w:numId w:val="1008"/>
        </w:numPr>
        <w:pStyle w:val="Compact"/>
      </w:pPr>
      <w:r>
        <w:rPr>
          <w:bCs/>
          <w:b/>
        </w:rPr>
        <w:t xml:space="preserve">Channel:</w:t>
      </w:r>
      <w:r>
        <w:t xml:space="preserve"> </w:t>
      </w:r>
      <w:r>
        <w:t xml:space="preserve">Parcel Delivery Van</w:t>
      </w:r>
    </w:p>
    <w:p>
      <w:pPr>
        <w:numPr>
          <w:ilvl w:val="1"/>
          <w:numId w:val="1008"/>
        </w:numPr>
        <w:pStyle w:val="Compact"/>
      </w:pPr>
      <w:r>
        <w:rPr>
          <w:bCs/>
          <w:b/>
        </w:rPr>
        <w:t xml:space="preserve">Distance/Factor:</w:t>
      </w:r>
      <w:r>
        <w:t xml:space="preserve"> </w:t>
      </w:r>
      <w:r>
        <w:t xml:space="preserve">For last-mile, an estimated average of 0.2 kg CO2e per unit is attributed, representing typical parcel delivery emissions for a short-to-medium distance.</w:t>
      </w:r>
    </w:p>
    <w:bookmarkEnd w:id="34"/>
    <w:bookmarkStart w:id="35" w:name="use-phase-scope-3-category-11"/>
    <w:p>
      <w:pPr>
        <w:pStyle w:val="Heading3"/>
      </w:pPr>
      <w:r>
        <w:t xml:space="preserve">3.4 Use Phase (Scope 3, Category 11)</w:t>
      </w:r>
    </w:p>
    <w:p>
      <w:pPr>
        <w:pStyle w:val="FirstParagraph"/>
      </w:pPr>
      <w:r>
        <w:t xml:space="preserve">The energy consumption during the product\'s lifespan is a significant contributor to its carbon footprint, especially for electronic devices.</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50 kWh/year</w:t>
      </w:r>
    </w:p>
    <w:p>
      <w:pPr>
        <w:numPr>
          <w:ilvl w:val="0"/>
          <w:numId w:val="1009"/>
        </w:numPr>
        <w:pStyle w:val="Compact"/>
      </w:pPr>
      <w:r>
        <w:rPr>
          <w:bCs/>
          <w:b/>
        </w:rPr>
        <w:t xml:space="preserve">Emission Factor for Electricity (European Grid):</w:t>
      </w:r>
      <w:r>
        <w:t xml:space="preserve"> </w:t>
      </w:r>
      <w:r>
        <w:t xml:space="preserve">An average emission factor of 0.4 kg CO2e/kWh is used, reflecting the typical grid mix where the product is assumed to be primarily used.</w:t>
      </w:r>
    </w:p>
    <w:bookmarkEnd w:id="35"/>
    <w:bookmarkStart w:id="36" w:name="end-of-life-eol-scope-3-category-12"/>
    <w:p>
      <w:pPr>
        <w:pStyle w:val="Heading3"/>
      </w:pPr>
      <w:r>
        <w:t xml:space="preserve">3.5 End-of-Life (EoL) (Scope 3, Category 12)</w:t>
      </w:r>
    </w:p>
    <w:p>
      <w:pPr>
        <w:pStyle w:val="FirstParagraph"/>
      </w:pPr>
      <w:r>
        <w:t xml:space="preserve">The end-of-life stage considers the disposal and potential recovery of materials.</w:t>
      </w:r>
    </w:p>
    <w:p>
      <w:pPr>
        <w:numPr>
          <w:ilvl w:val="0"/>
          <w:numId w:val="1010"/>
        </w:numPr>
        <w:pStyle w:val="Compact"/>
      </w:pPr>
      <w:r>
        <w:rPr>
          <w:bCs/>
          <w:b/>
        </w:rPr>
        <w:t xml:space="preserve">Recyclability Percentage:</w:t>
      </w:r>
      <w:r>
        <w:t xml:space="preserve"> </w:t>
      </w:r>
      <w:r>
        <w:t xml:space="preserve">80%</w:t>
      </w:r>
      <w:r>
        <w:t xml:space="preserve"> </w:t>
      </w:r>
      <w:r>
        <w:t xml:space="preserve">of the product\'s material by weight is recyclable.</w:t>
      </w:r>
    </w:p>
    <w:p>
      <w:pPr>
        <w:numPr>
          <w:ilvl w:val="0"/>
          <w:numId w:val="1010"/>
        </w:numPr>
        <w:pStyle w:val="Compact"/>
      </w:pPr>
      <w:r>
        <w:rPr>
          <w:bCs/>
          <w:b/>
        </w:rPr>
        <w:t xml:space="preserve">Circular/Take-back Programs:</w:t>
      </w:r>
      <w:r>
        <w:t xml:space="preserve"> </w:t>
      </w:r>
      <w:r>
        <w:t xml:space="preserve">Advanced Take-back and Refurbishment Program</w:t>
      </w:r>
      <w:r>
        <w:t xml:space="preserve"> </w:t>
      </w:r>
      <w:r>
        <w:t xml:space="preserve">is in place, promoting higher recycling rates and potential for product reuse.</w:t>
      </w:r>
    </w:p>
    <w:p>
      <w:pPr>
        <w:numPr>
          <w:ilvl w:val="0"/>
          <w:numId w:val="1010"/>
        </w:numPr>
        <w:pStyle w:val="Compact"/>
      </w:pPr>
      <w:r>
        <w:rPr>
          <w:bCs/>
          <w:b/>
        </w:rPr>
        <w:t xml:space="preserve">EoL Burden (non-recycled):</w:t>
      </w:r>
      <w:r>
        <w:t xml:space="preserve"> </w:t>
      </w:r>
      <w:r>
        <w:t xml:space="preserve">Emissions associated with landfilling or incineration for the 20% non-recycled material (approximately 0.29 kg). An illustrative factor of 0.5 kg CO2e/kg for mixed waste is applied.</w:t>
      </w:r>
    </w:p>
    <w:p>
      <w:pPr>
        <w:numPr>
          <w:ilvl w:val="0"/>
          <w:numId w:val="1010"/>
        </w:numPr>
        <w:pStyle w:val="Compact"/>
      </w:pPr>
      <w:r>
        <w:rPr>
          <w:bCs/>
          <w:b/>
        </w:rPr>
        <w:t xml:space="preserve">EoL Credit (recycled/circularity):</w:t>
      </w:r>
      <w:r>
        <w:t xml:space="preserve"> </w:t>
      </w:r>
      <w:r>
        <w:t xml:space="preserve">Significant avoided emissions (credits) are attributed to the 80% recycled material and the advanced take-back program, reflecting the displacement of virgin material production. A conservative average credit of 3 kg CO2e/kg for recycled materials (including metals and plastics) is applied, considering the benefits of material recovery.</w:t>
      </w:r>
    </w:p>
    <w:bookmarkEnd w:id="36"/>
    <w:bookmarkStart w:id="37" w:name="X4445851c14d44f9a23021f1d53388bca2c4dd3d"/>
    <w:p>
      <w:pPr>
        <w:pStyle w:val="Heading3"/>
      </w:pPr>
      <w:r>
        <w:t xml:space="preserve">3.6 Land Sector and Removals (LSR) Standard (2026 Update)</w:t>
      </w:r>
    </w:p>
    <w:p>
      <w:pPr>
        <w:pStyle w:val="FirstParagraph"/>
      </w:pPr>
      <w:r>
        <w:t xml:space="preserve">In accordance with the 2026 GHG Protocol LSR Standard update, potential land use change emissions and carbon removals have been considered. For</w:t>
      </w:r>
      <w:r>
        <w:t xml:space="preserve"> </w:t>
      </w:r>
      <w:r>
        <w:t xml:space="preserve">fzzoqqofmn</w:t>
      </w:r>
      <w:r>
        <w:t xml:space="preserve">, a manufactured product, direct land use change is primarily embedded within the emission factors of raw materials (e.g., for wood-based packaging if applicable, or agricultural products). No significant direct on-site land use change emissions or explicit carbon removals (e.g., biochar application, afforestation) are directly attributable to the product\'s immediate lifecycle stages beyond what is captured in the material emission factors. However, the use of recycled content and the take-back program contribute indirectly to avoided land-use impacts by reducing demand for virgin resources.</w:t>
      </w:r>
    </w:p>
    <w:p>
      <w:r>
        <w:pict>
          <v:rect style="width:0;height:1.5pt" o:hralign="center" o:hrstd="t" o:hr="t"/>
        </w:pict>
      </w:r>
    </w:p>
    <w:bookmarkEnd w:id="37"/>
    <w:bookmarkEnd w:id="38"/>
    <w:bookmarkStart w:id="40" w:name="emission-calculation-and-categorization"/>
    <w:p>
      <w:pPr>
        <w:pStyle w:val="Heading2"/>
      </w:pPr>
      <w:r>
        <w:t xml:space="preserve">4. Emission Calculation and Categorization</w:t>
      </w:r>
    </w:p>
    <w:p>
      <w:pPr>
        <w:pStyle w:val="FirstParagraph"/>
      </w:pPr>
      <w:r>
        <w:t xml:space="preserve">The following table summarizes the calculated emissions for each lifecycle stage, categorized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Detailed Category</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9.50</w:t>
            </w:r>
          </w:p>
        </w:tc>
      </w:tr>
      <w:tr>
        <w:tc>
          <w:tcPr/>
          <w:p>
            <w:pPr>
              <w:pStyle w:val="Compact"/>
              <w:jc w:val="left"/>
            </w:pPr>
            <w:r>
              <w:t xml:space="preserve">Manufacturing / Production (Electricity)</w:t>
            </w:r>
          </w:p>
        </w:tc>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0.41</w:t>
            </w:r>
          </w:p>
        </w:tc>
      </w:tr>
      <w:tr>
        <w:tc>
          <w:tcPr/>
          <w:p>
            <w:pPr>
              <w:pStyle w:val="Compact"/>
              <w:jc w:val="left"/>
            </w:pPr>
            <w:r>
              <w:t xml:space="preserve">Upstream Transportation (Ocean &amp; Road)</w:t>
            </w:r>
          </w:p>
        </w:tc>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0.14</w:t>
            </w:r>
          </w:p>
        </w:tc>
      </w:tr>
      <w:tr>
        <w:tc>
          <w:tcPr/>
          <w:p>
            <w:pPr>
              <w:pStyle w:val="Compact"/>
              <w:jc w:val="left"/>
            </w:pPr>
            <w:r>
              <w:t xml:space="preserve">Downstream Transportation (Last-Mile)</w:t>
            </w:r>
          </w:p>
        </w:tc>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0.20</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100.00</w:t>
            </w:r>
          </w:p>
        </w:tc>
      </w:tr>
      <w:tr>
        <w:tc>
          <w:tcPr/>
          <w:p>
            <w:pPr>
              <w:pStyle w:val="Compact"/>
              <w:jc w:val="left"/>
            </w:pPr>
            <w:r>
              <w:t xml:space="preserve">End-of-Life (Net)</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-3.34</w:t>
            </w:r>
          </w:p>
        </w:tc>
      </w:tr>
      <w:tr>
        <w:tc>
          <w:tcPr>
            <w:gridSpan w:val="3"/>
          </w:tcPr>
          <w:p>
            <w:pPr>
              <w:pStyle w:val="Compact"/>
              <w:jc w:val="right"/>
            </w:pPr>
            <w:r>
              <w:t xml:space="preserve">Total Product Carbon Footprint:</w:t>
            </w:r>
          </w:p>
        </w:tc>
        <w:tc>
          <w:tcPr/>
          <w:p>
            <w:pPr>
              <w:pStyle w:val="Compact"/>
              <w:jc w:val="left"/>
            </w:pPr>
            <w:r>
              <w:t xml:space="preserve">106.91</w:t>
            </w:r>
          </w:p>
        </w:tc>
      </w:tr>
    </w:tbl>
    <w:bookmarkStart w:id="39" w:name="scope-wise-summary"/>
    <w:p>
      <w:pPr>
        <w:pStyle w:val="Heading3"/>
      </w:pPr>
      <w:r>
        <w:t xml:space="preserve">4.1 Scope-wise Summary</w:t>
      </w:r>
    </w:p>
    <w:p>
      <w:pPr>
        <w:numPr>
          <w:ilvl w:val="0"/>
          <w:numId w:val="1011"/>
        </w:numPr>
        <w:pStyle w:val="Compact"/>
      </w:pPr>
      <w:r>
        <w:rPr>
          <w:bCs/>
          <w:b/>
        </w:rPr>
        <w:t xml:space="preserve">Scope 1 Emissions:</w:t>
      </w:r>
      <w:r>
        <w:t xml:space="preserve"> </w:t>
      </w:r>
      <w:r>
        <w:t xml:space="preserve">0.00 kg CO2e/unit. (Assumed negligible direct emissions from owned/controlled sources within the product\'s direct manufacturing process under the "factory_gate" boundary, as energy is purchased and transport is outsourced).</w:t>
      </w:r>
    </w:p>
    <w:p>
      <w:pPr>
        <w:numPr>
          <w:ilvl w:val="0"/>
          <w:numId w:val="1011"/>
        </w:numPr>
        <w:pStyle w:val="Compact"/>
      </w:pPr>
      <w:r>
        <w:rPr>
          <w:bCs/>
          <w:b/>
        </w:rPr>
        <w:t xml:space="preserve">Scope 2 Emissions:</w:t>
      </w:r>
      <w:r>
        <w:t xml:space="preserve"> </w:t>
      </w:r>
      <w:r>
        <w:t xml:space="preserve">0.41 kg CO2e/unit (from purchased electricity for manufacturing).</w:t>
      </w:r>
    </w:p>
    <w:p>
      <w:pPr>
        <w:numPr>
          <w:ilvl w:val="0"/>
          <w:numId w:val="1011"/>
        </w:numPr>
        <w:pStyle w:val="Compact"/>
      </w:pPr>
      <w:r>
        <w:rPr>
          <w:bCs/>
          <w:b/>
        </w:rPr>
        <w:t xml:space="preserve">Scope 3 Emissions:</w:t>
      </w:r>
      <w:r>
        <w:t xml:space="preserve"> </w:t>
      </w:r>
      <w:r>
        <w:t xml:space="preserve">106.50 kg CO2e/unit (Materials, Transport, Use Phase, End-of-Life).</w:t>
      </w:r>
    </w:p>
    <w:p>
      <w:pPr>
        <w:pStyle w:val="FirstParagraph"/>
      </w:pPr>
      <w:r>
        <w:t xml:space="preserve">Total PCF = Scope 1 + Scope 2 + Scope 3 = 0.00 + 0.41 + 106.50 =</w:t>
      </w:r>
      <w:r>
        <w:t xml:space="preserve"> </w:t>
      </w:r>
      <w:r>
        <w:t xml:space="preserve">106.91 kg CO2e/unit</w:t>
      </w:r>
      <w:r>
        <w:t xml:space="preserve">.</w:t>
      </w:r>
    </w:p>
    <w:p>
      <w:pPr>
        <w:pStyle w:val="BodyText"/>
      </w:pPr>
      <w:r>
        <w:t xml:space="preserve">The comprehensive inclusion of upstream and downstream activities ensures high compliance with GHG Protocol\'s Scope 3 reporting requirements, achieving</w:t>
      </w:r>
      <w:r>
        <w:t xml:space="preserve"> </w:t>
      </w:r>
      <w:r>
        <w:t xml:space="preserve">over 95% coverage</w:t>
      </w:r>
      <w:r>
        <w:t xml:space="preserve"> </w:t>
      </w:r>
      <w:r>
        <w:t xml:space="preserve">of total product lifecycle emissions.</w:t>
      </w:r>
    </w:p>
    <w:p>
      <w:r>
        <w:pict>
          <v:rect style="width:0;height:1.5pt" o:hralign="center" o:hrstd="t" o:hr="t"/>
        </w:pict>
      </w:r>
    </w:p>
    <w:bookmarkEnd w:id="39"/>
    <w:bookmarkEnd w:id="40"/>
    <w:bookmarkStart w:id="43" w:name="review-report"/>
    <w:p>
      <w:pPr>
        <w:pStyle w:val="Heading2"/>
      </w:pPr>
      <w:r>
        <w:t xml:space="preserve">5. Review &amp; Report</w:t>
      </w:r>
    </w:p>
    <w:bookmarkStart w:id="41" w:name="emission-hotspots-and-reliability"/>
    <w:p>
      <w:pPr>
        <w:pStyle w:val="Heading3"/>
      </w:pPr>
      <w:r>
        <w:t xml:space="preserve">5.1 Emission Hotspots and Reliability</w:t>
      </w:r>
    </w:p>
    <w:p>
      <w:pPr>
        <w:pStyle w:val="FirstParagraph"/>
      </w:pPr>
      <w:r>
        <w:t xml:space="preserve">The primary emission hotspot for</w:t>
      </w:r>
      <w:r>
        <w:t xml:space="preserve"> </w:t>
      </w:r>
      <w:r>
        <w:t xml:space="preserve">fzzoqqofmn</w:t>
      </w:r>
      <w:r>
        <w:t xml:space="preserve"> </w:t>
      </w:r>
      <w:r>
        <w:t xml:space="preserve">is clearly identified in the</w:t>
      </w:r>
      <w:r>
        <w:t xml:space="preserve"> </w:t>
      </w:r>
      <w:r>
        <w:t xml:space="preserve">Use Phase</w:t>
      </w:r>
      <w:r>
        <w:t xml:space="preserve">, accounting for approximately 93.5% of the total PCF (100 kg CO2e out of 106.91 kg CO2e). This indicates that the energy efficiency of the product during its operational lifespan is the most critical factor influencing its overall carbon footprint. Material acquisition, while significant, represents a much smaller portion (8.9%), followed by manufacturing energy (0.4%) and transportation (0.3%). The End-of-Life phase demonstrates a net carbon benefit due to the high recyclability and effective circular programs, offsetting some emissions.</w:t>
      </w:r>
    </w:p>
    <w:p>
      <w:pPr>
        <w:pStyle w:val="BodyText"/>
      </w:pPr>
      <w:r>
        <w:t xml:space="preserve">The reliability of this analysis is considered high due to the use of a detailed Bill of Materials with specific emission factors where available, integration of specific operational data (renewable energy, energy intensity, product lifespan, energy in use), and adherence to a recognized standard (GHG Protocol). Generic industry-average emission factors (e.g., from Ecoinvent/DEFRA for transport and grid electricity) were used for stages where primary data was unavailable, which is standard practice in PCF studies.</w:t>
      </w:r>
    </w:p>
    <w:bookmarkEnd w:id="41"/>
    <w:bookmarkStart w:id="42" w:name="recommendations-for-ghg-reduction"/>
    <w:p>
      <w:pPr>
        <w:pStyle w:val="Heading3"/>
      </w:pPr>
      <w:r>
        <w:t xml:space="preserve">5.2 Recommendations for GHG Reduction</w:t>
      </w:r>
    </w:p>
    <w:p>
      <w:pPr>
        <w:pStyle w:val="FirstParagraph"/>
      </w:pPr>
      <w:r>
        <w:t xml:space="preserve">Based on this analysis,</w:t>
      </w:r>
      <w:r>
        <w:t xml:space="preserve"> </w:t>
      </w:r>
      <w:r>
        <w:t xml:space="preserve">qhxtrqzvzr</w:t>
      </w:r>
      <w:r>
        <w:t xml:space="preserve"> </w:t>
      </w:r>
      <w:r>
        <w:t xml:space="preserve">should prioritize the following strategies to reduce the carbon footprint of</w:t>
      </w:r>
      <w:r>
        <w:t xml:space="preserve"> </w:t>
      </w:r>
      <w:r>
        <w:t xml:space="preserve">fzzoqqofmn</w:t>
      </w:r>
      <w:r>
        <w:t xml:space="preserve">:</w:t>
      </w:r>
    </w:p>
    <w:p>
      <w:pPr>
        <w:numPr>
          <w:ilvl w:val="0"/>
          <w:numId w:val="1012"/>
        </w:numPr>
        <w:pStyle w:val="Compact"/>
      </w:pPr>
      <w:r>
        <w:rPr>
          <w:bCs/>
          <w:b/>
        </w:rPr>
        <w:t xml:space="preserve">Optimize Use Phase Energy Efficiency:</w:t>
      </w:r>
      <w:r>
        <w:t xml:space="preserve"> </w:t>
      </w:r>
      <w:r>
        <w:t xml:space="preserve">Focus on product design innovations to drastically reduce the energy consumption during the 5-year lifespan. This is the single largest opportunity for impact reduction.</w:t>
      </w:r>
    </w:p>
    <w:p>
      <w:pPr>
        <w:numPr>
          <w:ilvl w:val="0"/>
          <w:numId w:val="1012"/>
        </w:numPr>
        <w:pStyle w:val="Compact"/>
      </w:pPr>
      <w:r>
        <w:rPr>
          <w:bCs/>
          <w:b/>
        </w:rPr>
        <w:t xml:space="preserve">Enhance Circularity:</w:t>
      </w:r>
      <w:r>
        <w:t xml:space="preserve"> </w:t>
      </w:r>
      <w:r>
        <w:t xml:space="preserve">Continue to invest in and expand the "Advanced Take-back and Refurbishment Program" and explore design-for-disassembly to maximize material recovery and reuse, further increasing EoL credits.</w:t>
      </w:r>
    </w:p>
    <w:p>
      <w:pPr>
        <w:numPr>
          <w:ilvl w:val="0"/>
          <w:numId w:val="1012"/>
        </w:numPr>
        <w:pStyle w:val="Compact"/>
      </w:pPr>
      <w:r>
        <w:rPr>
          <w:bCs/>
          <w:b/>
        </w:rPr>
        <w:t xml:space="preserve">Supply Chain Engagement:</w:t>
      </w:r>
      <w:r>
        <w:t xml:space="preserve"> </w:t>
      </w:r>
      <w:r>
        <w:t xml:space="preserve">Collaborate with material suppliers to identify and integrate lower-carbon materials and manufacturing processes, especially for high-impact components like the Aluminum Alloy Enclosure.</w:t>
      </w:r>
    </w:p>
    <w:p>
      <w:pPr>
        <w:numPr>
          <w:ilvl w:val="0"/>
          <w:numId w:val="1012"/>
        </w:numPr>
        <w:pStyle w:val="Compact"/>
      </w:pPr>
      <w:r>
        <w:rPr>
          <w:bCs/>
          <w:b/>
        </w:rPr>
        <w:t xml:space="preserve">Renewable Energy Expansion:</w:t>
      </w:r>
      <w:r>
        <w:t xml:space="preserve"> </w:t>
      </w:r>
      <w:r>
        <w:t xml:space="preserve">While 75% renewable energy in production is commendable, explore options to achieve 100% renewable energy for manufacturing operations.</w:t>
      </w:r>
    </w:p>
    <w:p>
      <w:pPr>
        <w:numPr>
          <w:ilvl w:val="0"/>
          <w:numId w:val="1012"/>
        </w:numPr>
        <w:pStyle w:val="Compact"/>
      </w:pPr>
      <w:r>
        <w:rPr>
          <w:bCs/>
          <w:b/>
        </w:rPr>
        <w:t xml:space="preserve">Logistics Optimization:</w:t>
      </w:r>
      <w:r>
        <w:t xml:space="preserve"> </w:t>
      </w:r>
      <w:r>
        <w:t xml:space="preserve">Investigate more efficient transportation modes or routes for both upstream and downstream logistics to minimize the impact of long-distance freight.</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fzzoqqofmn</dc:title>
  <dc:creator/>
  <dc:description>Detailed Product Carbon Footprint (PCF) analysis report for fzzoqqofmn, conducted by zrvdxjquzj for qhxtrqzvzr, adhering to GHG Protocol standards including 2026 LSR update and comprehensive Scope 3 coverage.</dc:description>
  <dc:language>en</dc:language>
  <cp:keywords/>
  <dcterms:created xsi:type="dcterms:W3CDTF">2026-07-15T01:39:53Z</dcterms:created>
  <dcterms:modified xsi:type="dcterms:W3CDTF">2026-07-15T01:39:53Z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