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fqgzrklvwm</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fqgzrklvwm"/>
    <w:p>
      <w:pPr>
        <w:pStyle w:val="Heading2"/>
      </w:pPr>
      <w:r>
        <w:t xml:space="preserve">Product: fqgzrklvwm</w:t>
      </w:r>
    </w:p>
    <w:p>
      <w:pPr>
        <w:pStyle w:val="FirstParagraph"/>
      </w:pPr>
      <w:r>
        <w:rPr>
          <w:bCs/>
          <w:b/>
        </w:rPr>
        <w:t xml:space="preserve">Company Name:</w:t>
      </w:r>
      <w:r>
        <w:t xml:space="preserve"> </w:t>
      </w:r>
      <w:r>
        <w:t xml:space="preserve">spwqwgzwgx</w:t>
      </w:r>
    </w:p>
    <w:p>
      <w:pPr>
        <w:pStyle w:val="BodyText"/>
      </w:pPr>
      <w:r>
        <w:rPr>
          <w:bCs/>
          <w:b/>
        </w:rPr>
        <w:t xml:space="preserve">Senior Sustainability Consultant:</w:t>
      </w:r>
      <w:r>
        <w:t xml:space="preserve"> </w:t>
      </w:r>
      <w:r>
        <w:t xml:space="preserve">hmndgwkskr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data precision.</w:t>
      </w:r>
    </w:p>
    <w:bookmarkEnd w:id="20"/>
    <w:bookmarkEnd w:id="21"/>
    <w:bookmarkStart w:id="22" w:name="Xf54899e8b11710be14a573d6a4fd2ba65f16981"/>
    <w:p>
      <w:pPr>
        <w:pStyle w:val="Heading1"/>
      </w:pPr>
      <w:r>
        <w:t xml:space="preserve">Product Carbon Footprint (PCF) Analysis Report for fqgzrklvwm</w:t>
      </w:r>
    </w:p>
    <w:p>
      <w:pPr>
        <w:pStyle w:val="FirstParagraph"/>
      </w:pPr>
      <w:r>
        <w:rPr>
          <w:bCs/>
          <w:b/>
        </w:rPr>
        <w:t xml:space="preserve">Generated Date:</w:t>
      </w:r>
      <w:r>
        <w:t xml:space="preserve"> </w:t>
      </w:r>
      <w:r>
        <w:t xml:space="preserve">May 19,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fqgzrklvwm, manufactured by spwqwgzwgx. The analysis, conducted by Senior Sustainability Consultant hmndgwkskr, adheres strictly to the GHG Protocol\'s Corporate Value Chain (Scope 3) Accounting and Reporting Standard, incorporating the latest 2026 Land Sector and Removals (LSR) Standard updates and the mandated 95% Scope 3 coverage. The primary goal is to quantify greenhouse gas (GHG) emissions across the product\'s lifecycle, identify key emission hotspots, and provide actionable insights for spwqwgzwgx to enhance its sustainability performance.</w:t>
      </w:r>
    </w:p>
    <w:p>
      <w:pPr>
        <w:pStyle w:val="BodyText"/>
      </w:pPr>
      <w:r>
        <w:t xml:space="preserve">The total cradle-to-gate-plus-use-and-end-of-life carbon footprint for one functional unit of fqgzrklvwm is estimated to be approximately</w:t>
      </w:r>
      <w:r>
        <w:t xml:space="preserve"> </w:t>
      </w:r>
      <w:r>
        <w:rPr>
          <w:bCs/>
          <w:b/>
        </w:rPr>
        <w:t xml:space="preserve">[Calculated Total PCF] kg CO2e</w:t>
      </w:r>
      <w:r>
        <w:t xml:space="preserve">. The main hotspots identified are in the material acquisition and production phases, particularly due to high-impact electronic components and energy consumption in manufacturing. Transport and end-of-life phases also contribute significantly, highlighting opportunities for optimization in logistics and circular economy initiatives.</w:t>
      </w:r>
    </w:p>
    <w:bookmarkEnd w:id="23"/>
    <w:p>
      <w:r>
        <w:pict>
          <v:rect style="width:0;height:1.5pt" o:hralign="center" o:hrstd="t" o:hr="t"/>
        </w:pict>
      </w:r>
    </w:p>
    <w:bookmarkStart w:id="25" w:name="introduction"/>
    <w:p>
      <w:pPr>
        <w:pStyle w:val="Heading2"/>
      </w:pPr>
      <w:r>
        <w:t xml:space="preserve">2. Introduction</w:t>
      </w:r>
    </w:p>
    <w:p>
      <w:pPr>
        <w:pStyle w:val="FirstParagraph"/>
      </w:pPr>
      <w:r>
        <w:t xml:space="preserve">spwqwgzwgx, under the guidance of Senior Sustainability Consultant hmndgwkskr, is committed to understanding and mitigating the environmental impact of its products. This Product Carbon Footprint (PCF) report for fqgzrklvwm serves as a critical tool in achieving this objective by providing a transparent and comprehensive assessment of its climate footprint.</w:t>
      </w:r>
    </w:p>
    <w:bookmarkStart w:id="24" w:name="defining-the-scope"/>
    <w:p>
      <w:pPr>
        <w:pStyle w:val="Heading3"/>
      </w:pPr>
      <w:r>
        <w:t xml:space="preserve">2.1. Defining the Scope</w:t>
      </w:r>
    </w:p>
    <w:p>
      <w:pPr>
        <w:numPr>
          <w:ilvl w:val="0"/>
          <w:numId w:val="1001"/>
        </w:numPr>
        <w:pStyle w:val="Compact"/>
      </w:pPr>
      <w:r>
        <w:rPr>
          <w:bCs/>
          <w:b/>
        </w:rPr>
        <w:t xml:space="preserve">Functional Unit:</w:t>
      </w:r>
      <w:r>
        <w:t xml:space="preserve"> </w:t>
      </w:r>
      <w:r>
        <w:t xml:space="preserve">1.0 unit of fqgzrklvwm. This unit forms the basis for all quantified emissions, ensuring comparability and clarity in reporting.</w:t>
      </w:r>
    </w:p>
    <w:p>
      <w:pPr>
        <w:numPr>
          <w:ilvl w:val="0"/>
          <w:numId w:val="1001"/>
        </w:numPr>
        <w:pStyle w:val="Compact"/>
      </w:pPr>
      <w:r>
        <w:rPr>
          <w:bCs/>
          <w:b/>
        </w:rPr>
        <w:t xml:space="preserve">System Boundary:</w:t>
      </w:r>
      <w:r>
        <w:t xml:space="preserve"> </w:t>
      </w:r>
      <w:r>
        <w:t xml:space="preserve">factory_gate. This "cradle-to-gate" boundary for initial assessment encompasses raw material extraction, manufacturing, and transport to the factory gate. For a holistic view, this report extends the analysis to include the "use phase" and "end-of-life" (cradle-to-grave) as per the detailed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global nature of modern supply chains, with manufacturing centered in China and primary markets/supply chain activities in Europe.</w:t>
      </w:r>
    </w:p>
    <w:p>
      <w:pPr>
        <w:numPr>
          <w:ilvl w:val="0"/>
          <w:numId w:val="1001"/>
        </w:numPr>
        <w:pStyle w:val="Compact"/>
      </w:pPr>
      <w:r>
        <w:rPr>
          <w:bCs/>
          <w:b/>
        </w:rPr>
        <w:t xml:space="preserve">Allocation:</w:t>
      </w:r>
      <w:r>
        <w:t xml:space="preserve"> </w:t>
      </w:r>
      <w:r>
        <w:t xml:space="preserve">Emissions are allocated based on mass for materials and energy consumption per functional unit. For shared transportation, allocation is based on mass-distance.</w:t>
      </w:r>
    </w:p>
    <w:p>
      <w:pPr>
        <w:numPr>
          <w:ilvl w:val="0"/>
          <w:numId w:val="1001"/>
        </w:numPr>
        <w:pStyle w:val="Compact"/>
      </w:pPr>
      <w:r>
        <w:rPr>
          <w:bCs/>
          <w:b/>
        </w:rPr>
        <w:t xml:space="preserve">Accounting Standard:</w:t>
      </w:r>
      <w:r>
        <w:t xml:space="preserve"> </w:t>
      </w:r>
      <w:r>
        <w:t xml:space="preserve">This PCF analysis strictly adheres to the **GHG Protocol** standards. Specifically, the Corporate Value Chain (Scope 3) Accounting and Reporting Standard is utilized to categorize and quantify indirect emissions, which typically represent the majority of a product\'s footprint.</w:t>
      </w:r>
    </w:p>
    <w:p>
      <w:pPr>
        <w:pStyle w:val="FirstParagraph"/>
      </w:pPr>
      <w:r>
        <w:t xml:space="preserve">This analysis further incorporates the latest updates from the GHG Protocol for 2026, including the application of the Land Sector and Removals (LSR) Standard and the strict 95% coverage requirement for Scope 3 emissions.</w:t>
      </w:r>
    </w:p>
    <w:bookmarkEnd w:id="24"/>
    <w:bookmarkEnd w:id="25"/>
    <w:p>
      <w:r>
        <w:pict>
          <v:rect style="width:0;height:1.5pt" o:hralign="center" o:hrstd="t" o:hr="t"/>
        </w:pict>
      </w:r>
    </w:p>
    <w:bookmarkStart w:id="29" w:name="methodology"/>
    <w:p>
      <w:pPr>
        <w:pStyle w:val="Heading2"/>
      </w:pPr>
      <w:r>
        <w:t xml:space="preserve">3. Methodology</w:t>
      </w:r>
    </w:p>
    <w:p>
      <w:pPr>
        <w:pStyle w:val="FirstParagraph"/>
      </w:pPr>
      <w:r>
        <w:t xml:space="preserve">The PCF analysis follows a five-step methodology recommended by the GHG Protocol:</w:t>
      </w:r>
    </w:p>
    <w:p>
      <w:pPr>
        <w:numPr>
          <w:ilvl w:val="0"/>
          <w:numId w:val="1002"/>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2"/>
        </w:numPr>
        <w:pStyle w:val="Compact"/>
      </w:pPr>
      <w:r>
        <w:rPr>
          <w:bCs/>
          <w:b/>
        </w:rPr>
        <w:t xml:space="preserve">Map Lifecycle:</w:t>
      </w:r>
      <w:r>
        <w:t xml:space="preserve"> </w:t>
      </w:r>
      <w:r>
        <w:t xml:space="preserve">Identify and map all relevant lifecycle stages and associated processes (Life Cycle Inventory - LCI).</w:t>
      </w:r>
    </w:p>
    <w:p>
      <w:pPr>
        <w:numPr>
          <w:ilvl w:val="0"/>
          <w:numId w:val="1002"/>
        </w:numPr>
        <w:pStyle w:val="Compact"/>
      </w:pPr>
      <w:r>
        <w:rPr>
          <w:bCs/>
          <w:b/>
        </w:rPr>
        <w:t xml:space="preserve">Collect Data:</w:t>
      </w:r>
      <w:r>
        <w:t xml:space="preserve"> </w:t>
      </w:r>
      <w:r>
        <w:t xml:space="preserve">Gather primary and secondary data points for activity data and emission factors.</w:t>
      </w:r>
    </w:p>
    <w:p>
      <w:pPr>
        <w:numPr>
          <w:ilvl w:val="0"/>
          <w:numId w:val="1002"/>
        </w:numPr>
        <w:pStyle w:val="Compact"/>
      </w:pPr>
      <w:r>
        <w:rPr>
          <w:bCs/>
          <w:b/>
        </w:rPr>
        <w:t xml:space="preserve">Calculate Emissions:</w:t>
      </w:r>
      <w:r>
        <w:t xml:space="preserve"> </w:t>
      </w:r>
      <w:r>
        <w:t xml:space="preserve">Quantify emissions by multiplying activity data by relevant emission factors.</w:t>
      </w:r>
    </w:p>
    <w:p>
      <w:pPr>
        <w:numPr>
          <w:ilvl w:val="0"/>
          <w:numId w:val="1002"/>
        </w:numPr>
        <w:pStyle w:val="Compact"/>
      </w:pPr>
      <w:r>
        <w:rPr>
          <w:bCs/>
          <w:b/>
        </w:rPr>
        <w:t xml:space="preserve">Review &amp; Report:</w:t>
      </w:r>
      <w:r>
        <w:t xml:space="preserve"> </w:t>
      </w:r>
      <w:r>
        <w:t xml:space="preserve">Analyze results, identify hotspots, assess reliability, and communicate findings.</w:t>
      </w:r>
    </w:p>
    <w:bookmarkStart w:id="26" w:name="adherence-to-ghg-protocol"/>
    <w:p>
      <w:pPr>
        <w:pStyle w:val="Heading3"/>
      </w:pPr>
      <w:r>
        <w:t xml:space="preserve">3.1. Adherence to GHG Protocol</w:t>
      </w:r>
    </w:p>
    <w:p>
      <w:pPr>
        <w:pStyle w:val="FirstParagraph"/>
      </w:pPr>
      <w:r>
        <w:t xml:space="preserve">Emissions are categorized into three scopes:</w:t>
      </w:r>
    </w:p>
    <w:p>
      <w:pPr>
        <w:numPr>
          <w:ilvl w:val="0"/>
          <w:numId w:val="1003"/>
        </w:numPr>
        <w:pStyle w:val="Compact"/>
      </w:pPr>
      <w:r>
        <w:rPr>
          <w:bCs/>
          <w:b/>
        </w:rPr>
        <w:t xml:space="preserve">Scope 1:</w:t>
      </w:r>
      <w:r>
        <w:t xml:space="preserve"> </w:t>
      </w:r>
      <w:r>
        <w:t xml:space="preserve">Direct GHG emissions from sources owned or controlled by spwqwgzwgx (e.g., on-site fuel combustion).</w:t>
      </w:r>
    </w:p>
    <w:p>
      <w:pPr>
        <w:numPr>
          <w:ilvl w:val="0"/>
          <w:numId w:val="1003"/>
        </w:numPr>
        <w:pStyle w:val="Compact"/>
      </w:pPr>
      <w:r>
        <w:rPr>
          <w:bCs/>
          <w:b/>
        </w:rPr>
        <w:t xml:space="preserve">Scope 2:</w:t>
      </w:r>
      <w:r>
        <w:t xml:space="preserve"> </w:t>
      </w:r>
      <w:r>
        <w:t xml:space="preserve">Indirect GHG emissions from the generation of purchased electricity, steam, heating, or cooling consumed by spwqwgzwgx.</w:t>
      </w:r>
    </w:p>
    <w:p>
      <w:pPr>
        <w:numPr>
          <w:ilvl w:val="0"/>
          <w:numId w:val="1003"/>
        </w:numPr>
        <w:pStyle w:val="Compact"/>
      </w:pPr>
      <w:r>
        <w:rPr>
          <w:bCs/>
          <w:b/>
        </w:rPr>
        <w:t xml:space="preserve">Scope 3:</w:t>
      </w:r>
      <w:r>
        <w:t xml:space="preserve"> </w:t>
      </w:r>
      <w:r>
        <w:t xml:space="preserve">All other indirect GHG emissions that occur in the value chain of spwqwgzwgx, both upstream and downstream. This typically includes emissions from purchased goods and services, transportation, waste, and use of sold products.</w:t>
      </w:r>
    </w:p>
    <w:bookmarkEnd w:id="26"/>
    <w:bookmarkStart w:id="27" w:name="lsr-standard-update-application"/>
    <w:p>
      <w:pPr>
        <w:pStyle w:val="Heading3"/>
      </w:pPr>
      <w:r>
        <w:t xml:space="preserve">3.2. 2026 LSR Standard Update Application</w:t>
      </w:r>
    </w:p>
    <w:p>
      <w:pPr>
        <w:pStyle w:val="FirstParagraph"/>
      </w:pPr>
      <w:r>
        <w:t xml:space="preserve">The Land Sector and Removals (LSR) Standard, effective January 1, 2027, provides requirements and guidance for quantifying, reporting, and tracking land emissions, CO₂ removals, and other key metrics. It applies to land management, land use change, CO₂ removals with storage in land and geologic carbon pools, and emissions from biogenic products across the value chain. For fqgzrklvwm, while direct land use change for the electronic device itself is minimal, the LSR Standard is considered for any biogenic materials in the supply chain (e.g., cardboard packaging) and potential carbon removals, ensuring compliance with the latest accounting requirements.</w:t>
      </w:r>
    </w:p>
    <w:bookmarkEnd w:id="27"/>
    <w:bookmarkStart w:id="28" w:name="scope-3-compliance-95-coverage"/>
    <w:p>
      <w:pPr>
        <w:pStyle w:val="Heading3"/>
      </w:pPr>
      <w:r>
        <w:t xml:space="preserve">3.3. Scope 3 Compliance (95% Coverage)</w:t>
      </w:r>
    </w:p>
    <w:p>
      <w:pPr>
        <w:pStyle w:val="FirstParagraph"/>
      </w:pPr>
      <w:r>
        <w:t xml:space="preserve">As per the proposed 2026 GHG Protocol Scope 3 requirements, this report aims for at least 95% coverage of total relevant Scope 3 emissions to claim conformance. This necessitates a diligent approach to data collection across all 15 Scope 3 categories, minimizing exclusions and providing justification for any remaining omissions. The focus is on robust data quality, prioritizing primary data where available.</w:t>
      </w:r>
    </w:p>
    <w:bookmarkEnd w:id="28"/>
    <w:bookmarkEnd w:id="29"/>
    <w:p>
      <w:r>
        <w:pict>
          <v:rect style="width:0;height:1.5pt" o:hralign="center" o:hrstd="t" o:hr="t"/>
        </w:pict>
      </w:r>
    </w:p>
    <w:bookmarkStart w:id="30" w:name="X8d83f4c0fb6a015ccba19185a83c4ffa98b9f03"/>
    <w:p>
      <w:pPr>
        <w:pStyle w:val="Heading2"/>
      </w:pPr>
      <w:r>
        <w:t xml:space="preserve">4. Step 1: Define Scope - Detailed Parameters</w:t>
      </w:r>
    </w:p>
    <w:p>
      <w:pPr>
        <w:pStyle w:val="FirstParagraph"/>
      </w:pPr>
      <w:r>
        <w:t xml:space="preserve">The specific parameters provided for this analysis are detailed below:</w:t>
      </w:r>
    </w:p>
    <w:p>
      <w:pPr>
        <w:numPr>
          <w:ilvl w:val="0"/>
          <w:numId w:val="1004"/>
        </w:numPr>
        <w:pStyle w:val="Compact"/>
      </w:pPr>
      <w:r>
        <w:rPr>
          <w:bCs/>
          <w:b/>
        </w:rPr>
        <w:t xml:space="preserve">Company Name:</w:t>
      </w:r>
      <w:r>
        <w:t xml:space="preserve"> </w:t>
      </w:r>
      <w:r>
        <w:t xml:space="preserve">spwqwgzwgx</w:t>
      </w:r>
    </w:p>
    <w:p>
      <w:pPr>
        <w:numPr>
          <w:ilvl w:val="0"/>
          <w:numId w:val="1004"/>
        </w:numPr>
        <w:pStyle w:val="Compact"/>
      </w:pPr>
      <w:r>
        <w:rPr>
          <w:bCs/>
          <w:b/>
        </w:rPr>
        <w:t xml:space="preserve">Senior Sustainability Consultant:</w:t>
      </w:r>
      <w:r>
        <w:t xml:space="preserve"> </w:t>
      </w:r>
      <w:r>
        <w:t xml:space="preserve">hmndgwkskr</w:t>
      </w:r>
    </w:p>
    <w:p>
      <w:pPr>
        <w:numPr>
          <w:ilvl w:val="0"/>
          <w:numId w:val="1004"/>
        </w:numPr>
        <w:pStyle w:val="Compact"/>
      </w:pPr>
      <w:r>
        <w:rPr>
          <w:bCs/>
          <w:b/>
        </w:rPr>
        <w:t xml:space="preserve">Product Name:</w:t>
      </w:r>
      <w:r>
        <w:t xml:space="preserve"> </w:t>
      </w:r>
      <w:r>
        <w:t xml:space="preserve">fqgzrklvwm (Illustrative: Smart Home Sensor)</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Cradle-to-grave, extending from raw material acquisition through manufacturing, use, and end-of-life. The initial "factory_gate" scope is expanded.</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w:t>
      </w:r>
    </w:p>
    <w:p>
      <w:pPr>
        <w:numPr>
          <w:ilvl w:val="0"/>
          <w:numId w:val="1004"/>
        </w:numPr>
      </w:pPr>
      <w:r>
        <w:rPr>
          <w:bCs/>
          <w:b/>
        </w:rPr>
        <w:t xml:space="preserve">Detailed Bill of Materials (BOM) `jqoouuok` (Illustrative Data based on provided format):</w:t>
      </w:r>
    </w:p>
    <w:p>
      <w:pPr>
        <w:numPr>
          <w:ilvl w:val="0"/>
          <w:numId w:val="1000"/>
        </w:numPr>
      </w:pPr>
      <w:r>
        <w:t xml:space="preserve">The following illustrative BOM for a Smart Home Sensor (fqgzrklvwm) is used. The \'Emission Factor\' and \'Total Carbon\' values are illustrative, but the methodology demonstrates how specific values from the provided `jqoouuok` would be used in calculation.</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0.200</w:t>
            </w:r>
          </w:p>
        </w:tc>
      </w:tr>
      <w:tr>
        <w:tc>
          <w:tcPr/>
          <w:p>
            <w:pPr>
              <w:pStyle w:val="Compact"/>
              <w:jc w:val="left"/>
            </w:pPr>
            <w:r>
              <w:t xml:space="preserve">1002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16.00</w:t>
            </w:r>
          </w:p>
        </w:tc>
        <w:tc>
          <w:tcPr/>
          <w:p>
            <w:pPr>
              <w:pStyle w:val="Compact"/>
              <w:jc w:val="left"/>
            </w:pPr>
            <w:r>
              <w:t xml:space="preserve">0.800</w:t>
            </w:r>
          </w:p>
        </w:tc>
      </w:tr>
      <w:tr>
        <w:tc>
          <w:tcPr/>
          <w:p>
            <w:pPr>
              <w:pStyle w:val="Compact"/>
              <w:jc w:val="left"/>
            </w:pPr>
            <w:r>
              <w:t xml:space="preserve">1003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0.720</w:t>
            </w:r>
          </w:p>
        </w:tc>
      </w:tr>
      <w:tr>
        <w:tc>
          <w:tcPr/>
          <w:p>
            <w:pPr>
              <w:pStyle w:val="Compact"/>
              <w:jc w:val="left"/>
            </w:pPr>
            <w:r>
              <w:t xml:space="preserve">1004</w:t>
            </w:r>
          </w:p>
        </w:tc>
        <w:tc>
          <w:tcPr/>
          <w:p>
            <w:pPr>
              <w:pStyle w:val="Compact"/>
              <w:jc w:val="left"/>
            </w:pPr>
            <w:r>
              <w:t xml:space="preserve">Connectors</w:t>
            </w:r>
          </w:p>
        </w:tc>
        <w:tc>
          <w:tcPr/>
          <w:p>
            <w:pPr>
              <w:pStyle w:val="Compact"/>
              <w:jc w:val="left"/>
            </w:pPr>
            <w:r>
              <w:t xml:space="preserve">Metals</w:t>
            </w:r>
          </w:p>
        </w:tc>
        <w:tc>
          <w:tcPr/>
          <w:p>
            <w:pPr>
              <w:pStyle w:val="Compact"/>
              <w:jc w:val="left"/>
            </w:pPr>
            <w:r>
              <w:t xml:space="preserve">Stamping &amp;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1005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0.012</w:t>
            </w:r>
          </w:p>
        </w:tc>
      </w:tr>
      <w:tr>
        <w:tc>
          <w:tcPr>
            <w:gridSpan w:val="4"/>
          </w:tcPr>
          <w:p>
            <w:pPr>
              <w:pStyle w:val="Compact"/>
              <w:jc w:val="left"/>
            </w:pPr>
            <w:r>
              <w:rPr>
                <w:bCs/>
                <w:b/>
              </w:rPr>
              <w:t xml:space="preserve">Total Material Weight (per unit)</w:t>
            </w:r>
          </w:p>
        </w:tc>
        <w:tc>
          <w:tcPr/>
          <w:p>
            <w:pPr>
              <w:pStyle w:val="Compact"/>
              <w:jc w:val="left"/>
            </w:pPr>
            <w:r>
              <w:rPr>
                <w:bCs/>
                <w:b/>
              </w:rPr>
              <w:t xml:space="preserve">0.20 kg</w:t>
            </w:r>
          </w:p>
        </w:tc>
        <w:tc>
          <w:tcPr/>
          <w:p>
            <w:pPr>
              <w:pStyle w:val="Compact"/>
            </w:pPr>
          </w:p>
        </w:tc>
        <w:tc>
          <w:tcPr/>
          <w:p>
            <w:pPr>
              <w:pStyle w:val="Compact"/>
            </w:pPr>
          </w:p>
        </w:tc>
        <w:tc>
          <w:tcPr/>
          <w:p>
            <w:pPr>
              <w:pStyle w:val="Compact"/>
              <w:jc w:val="left"/>
            </w:pPr>
            <w:r>
              <w:rPr>
                <w:bCs/>
                <w:b/>
              </w:rPr>
              <w:t xml:space="preserve">1.892 kgCO2e</w:t>
            </w:r>
          </w:p>
        </w:tc>
      </w:tr>
    </w:tbl>
    <w:p>
      <w:pPr>
        <w:numPr>
          <w:ilvl w:val="0"/>
          <w:numId w:val="1004"/>
        </w:numPr>
        <w:pStyle w:val="Compact"/>
      </w:pPr>
      <w:r>
        <w:rPr>
          <w:bCs/>
          <w:b/>
        </w:rPr>
        <w:t xml:space="preserve">Transport Mode:</w:t>
      </w:r>
      <w:r>
        <w:t xml:space="preserve"> </w:t>
      </w:r>
      <w:r>
        <w:t xml:space="preserve">Sea Freight (China to Europe) and Road Freight (within Europe, for primary and last-mile delivery).</w:t>
      </w:r>
    </w:p>
    <w:p>
      <w:pPr>
        <w:numPr>
          <w:ilvl w:val="0"/>
          <w:numId w:val="1004"/>
        </w:numPr>
        <w:pStyle w:val="Compact"/>
      </w:pPr>
      <w:r>
        <w:rPr>
          <w:bCs/>
          <w:b/>
        </w:rPr>
        <w:t xml:space="preserve">Transport Distance:</w:t>
      </w:r>
      <w:r>
        <w:t xml:space="preserve"> </w:t>
      </w:r>
      <w:r>
        <w:t xml:space="preserve">`xiheowzgxg` (Illustrative: Sea Freight: 18,000 km; Road Freight (Primary): 1,000 km; Road Freight (Last-Mile): 50 km).</w:t>
      </w:r>
    </w:p>
    <w:p>
      <w:pPr>
        <w:numPr>
          <w:ilvl w:val="0"/>
          <w:numId w:val="1004"/>
        </w:numPr>
        <w:pStyle w:val="Compact"/>
      </w:pPr>
      <w:r>
        <w:rPr>
          <w:bCs/>
          <w:b/>
        </w:rPr>
        <w:t xml:space="preserve">Last-Mile Delivery Channel:</w:t>
      </w:r>
      <w:r>
        <w:t xml:space="preserve"> </w:t>
      </w:r>
      <w:r>
        <w:t xml:space="preserve">`Delivery Type` (Illustrative: Road Courier).</w:t>
      </w:r>
    </w:p>
    <w:p>
      <w:pPr>
        <w:numPr>
          <w:ilvl w:val="0"/>
          <w:numId w:val="1004"/>
        </w:numPr>
        <w:pStyle w:val="Compact"/>
      </w:pPr>
      <w:r>
        <w:rPr>
          <w:bCs/>
          <w:b/>
        </w:rPr>
        <w:t xml:space="preserve">Renewable Energy Usage (Production):</w:t>
      </w:r>
      <w:r>
        <w:t xml:space="preserve"> </w:t>
      </w:r>
      <w:r>
        <w:t xml:space="preserve">`mlflxjtesn` (Illustrative: 45%).</w:t>
      </w:r>
    </w:p>
    <w:p>
      <w:pPr>
        <w:numPr>
          <w:ilvl w:val="0"/>
          <w:numId w:val="1004"/>
        </w:numPr>
        <w:pStyle w:val="Compact"/>
      </w:pPr>
      <w:r>
        <w:rPr>
          <w:bCs/>
          <w:b/>
        </w:rPr>
        <w:t xml:space="preserve">Energy Intensity (Production kWh/unit):</w:t>
      </w:r>
      <w:r>
        <w:t xml:space="preserve"> </w:t>
      </w:r>
      <w:r>
        <w:t xml:space="preserve">`mojduedxdy` (Illustrative: 0.5 kWh/unit).</w:t>
      </w:r>
    </w:p>
    <w:p>
      <w:pPr>
        <w:numPr>
          <w:ilvl w:val="0"/>
          <w:numId w:val="1004"/>
        </w:numPr>
        <w:pStyle w:val="Compact"/>
      </w:pPr>
      <w:r>
        <w:rPr>
          <w:bCs/>
          <w:b/>
        </w:rPr>
        <w:t xml:space="preserve">Product Lifespan:</w:t>
      </w:r>
      <w:r>
        <w:t xml:space="preserve"> </w:t>
      </w:r>
      <w:r>
        <w:t xml:space="preserve">`sgygdzxotd` (Illustrative: 5 years).</w:t>
      </w:r>
    </w:p>
    <w:p>
      <w:pPr>
        <w:numPr>
          <w:ilvl w:val="0"/>
          <w:numId w:val="1004"/>
        </w:numPr>
        <w:pStyle w:val="Compact"/>
      </w:pPr>
      <w:r>
        <w:rPr>
          <w:bCs/>
          <w:b/>
        </w:rPr>
        <w:t xml:space="preserve">Energy Consumption in Use:</w:t>
      </w:r>
      <w:r>
        <w:t xml:space="preserve"> </w:t>
      </w:r>
      <w:r>
        <w:t xml:space="preserve">`npgljsjqxp` (Illustrative: 0.005 kWh/day).</w:t>
      </w:r>
    </w:p>
    <w:p>
      <w:pPr>
        <w:numPr>
          <w:ilvl w:val="0"/>
          <w:numId w:val="1004"/>
        </w:numPr>
        <w:pStyle w:val="Compact"/>
      </w:pPr>
      <w:r>
        <w:rPr>
          <w:bCs/>
          <w:b/>
        </w:rPr>
        <w:t xml:space="preserve">Recyclability Percentage (EoL):</w:t>
      </w:r>
      <w:r>
        <w:t xml:space="preserve"> </w:t>
      </w:r>
      <w:r>
        <w:t xml:space="preserve">`tnyhhvstte` (Illustrative: 70%).</w:t>
      </w:r>
    </w:p>
    <w:p>
      <w:pPr>
        <w:numPr>
          <w:ilvl w:val="0"/>
          <w:numId w:val="1004"/>
        </w:numPr>
        <w:pStyle w:val="Compact"/>
      </w:pPr>
      <w:r>
        <w:rPr>
          <w:bCs/>
          <w:b/>
        </w:rPr>
        <w:t xml:space="preserve">Circular/Take-back Programs:</w:t>
      </w:r>
      <w:r>
        <w:t xml:space="preserve"> </w:t>
      </w:r>
      <w:r>
        <w:t xml:space="preserve">`mldpviqwnd` (Illustrative: Product take-back and refurbishment program in place).</w:t>
      </w:r>
    </w:p>
    <w:bookmarkEnd w:id="30"/>
    <w:p>
      <w:r>
        <w:pict>
          <v:rect style="width:0;height:1.5pt" o:hralign="center" o:hrstd="t" o:hr="t"/>
        </w:pict>
      </w:r>
    </w:p>
    <w:bookmarkStart w:id="41" w:name="step-2-3-map-lifecycle-and-collect-data"/>
    <w:p>
      <w:pPr>
        <w:pStyle w:val="Heading2"/>
      </w:pPr>
      <w:r>
        <w:t xml:space="preserve">5. Step 2 &amp; 3: Map Lifecycle and Collect Data</w:t>
      </w:r>
    </w:p>
    <w:p>
      <w:pPr>
        <w:pStyle w:val="FirstParagraph"/>
      </w:pPr>
      <w:r>
        <w:t xml:space="preserve">This section details the lifecycle stages of fqgzrklvwm and the data collected for each, categorized by GHG Protocol scopes.</w:t>
      </w:r>
    </w:p>
    <w:bookmarkStart w:id="33" w:name="scope-3-upstream-emissions"/>
    <w:p>
      <w:pPr>
        <w:pStyle w:val="Heading3"/>
      </w:pPr>
      <w:r>
        <w:t xml:space="preserve">5.1. Scope 3: Upstream Emissions</w:t>
      </w:r>
    </w:p>
    <w:bookmarkStart w:id="31" w:name="X6f4ebd029506b3984562900eb028e2b90738e98"/>
    <w:p>
      <w:pPr>
        <w:pStyle w:val="Heading4"/>
      </w:pPr>
      <w:r>
        <w:t xml:space="preserve">5.1.1. Category 1: Purchased Goods and Services (Materials Acquisition &amp; Pre-processing)</w:t>
      </w:r>
    </w:p>
    <w:p>
      <w:pPr>
        <w:pStyle w:val="FirstParagraph"/>
      </w:pPr>
      <w:r>
        <w:t xml:space="preserve">This category accounts for the cradle-to-gate emissions of all purchased materials and components that constitute the fqgzrklvwm product. The detailed Bill of Materials (BOM) `jqoouuok` provides the primary data for this section.</w:t>
      </w:r>
    </w:p>
    <w:p>
      <w:pPr>
        <w:pStyle w:val="BodyText"/>
      </w:pPr>
      <w:r>
        <w:rPr>
          <w:bCs/>
          <w:b/>
        </w:rPr>
        <w:t xml:space="preserve">Data Points:</w:t>
      </w:r>
    </w:p>
    <w:p>
      <w:pPr>
        <w:numPr>
          <w:ilvl w:val="0"/>
          <w:numId w:val="1005"/>
        </w:numPr>
        <w:pStyle w:val="Compact"/>
      </w:pPr>
      <w:r>
        <w:rPr>
          <w:bCs/>
          <w:b/>
        </w:rPr>
        <w:t xml:space="preserve">Plastic Casing (ABS):</w:t>
      </w:r>
      <w:r>
        <w:t xml:space="preserve"> </w:t>
      </w:r>
      <w:r>
        <w:t xml:space="preserve">Quantity: 0.08 kg, Emission Factor: 2.50 kgCO2e/kg (illustrative, for ABS injection molding based on typical industry data).</w:t>
      </w:r>
    </w:p>
    <w:p>
      <w:pPr>
        <w:numPr>
          <w:ilvl w:val="0"/>
          <w:numId w:val="1005"/>
        </w:numPr>
        <w:pStyle w:val="Compact"/>
      </w:pPr>
      <w:r>
        <w:rPr>
          <w:bCs/>
          <w:b/>
        </w:rPr>
        <w:t xml:space="preserve">Circuit Board (PCB):</w:t>
      </w:r>
      <w:r>
        <w:t xml:space="preserve"> </w:t>
      </w:r>
      <w:r>
        <w:t xml:space="preserve">Quantity: 0.05 kg, Emission Factor: 16.00 kgCO2e/kg (illustrative, for electronic components assembly, higher due to complex manufacturing and various materials).</w:t>
      </w:r>
    </w:p>
    <w:p>
      <w:pPr>
        <w:numPr>
          <w:ilvl w:val="0"/>
          <w:numId w:val="1005"/>
        </w:numPr>
        <w:pStyle w:val="Compact"/>
      </w:pPr>
      <w:r>
        <w:rPr>
          <w:bCs/>
          <w:b/>
        </w:rPr>
        <w:t xml:space="preserve">Lithium Battery:</w:t>
      </w:r>
      <w:r>
        <w:t xml:space="preserve"> </w:t>
      </w:r>
      <w:r>
        <w:t xml:space="preserve">Quantity: 0.04 kg, Emission Factor: 18.00 kgCO2e/kg (illustrative, for energy storage manufacturing, reflecting high energy and material intensity).</w:t>
      </w:r>
    </w:p>
    <w:p>
      <w:pPr>
        <w:numPr>
          <w:ilvl w:val="0"/>
          <w:numId w:val="1005"/>
        </w:numPr>
        <w:pStyle w:val="Compact"/>
      </w:pPr>
      <w:r>
        <w:rPr>
          <w:bCs/>
          <w:b/>
        </w:rPr>
        <w:t xml:space="preserve">Connectors (Metals):</w:t>
      </w:r>
      <w:r>
        <w:t xml:space="preserve"> </w:t>
      </w:r>
      <w:r>
        <w:t xml:space="preserve">Quantity: 0.02 kg, Emission Factor: 8.00 kgCO2e/kg (illustrative, for metal stamping and assembly processes).</w:t>
      </w:r>
    </w:p>
    <w:p>
      <w:pPr>
        <w:numPr>
          <w:ilvl w:val="0"/>
          <w:numId w:val="1005"/>
        </w:numPr>
        <w:pStyle w:val="Compact"/>
      </w:pPr>
      <w:r>
        <w:rPr>
          <w:bCs/>
          <w:b/>
        </w:rPr>
        <w:t xml:space="preserve">Packaging (Cardboard):</w:t>
      </w:r>
      <w:r>
        <w:t xml:space="preserve"> </w:t>
      </w:r>
      <w:r>
        <w:t xml:space="preserve">Quantity: 0.01 kg, Emission Factor: 1.20 kgCO2e/kg (illustrative, for primary cardboard production).</w:t>
      </w:r>
    </w:p>
    <w:p>
      <w:pPr>
        <w:pStyle w:val="FirstParagraph"/>
      </w:pPr>
      <w:r>
        <w:rPr>
          <w:bCs/>
          <w:b/>
        </w:rPr>
        <w:t xml:space="preserve">Total Emissions from Materials (from BOM):</w:t>
      </w:r>
      <w:r>
        <w:t xml:space="preserve"> </w:t>
      </w:r>
      <w:r>
        <w:t xml:space="preserve">1.892 kg CO2e per unit.</w:t>
      </w:r>
    </w:p>
    <w:bookmarkEnd w:id="31"/>
    <w:bookmarkStart w:id="32" w:name="X6669a43143349c25ec93e775eebde43de53a73c"/>
    <w:p>
      <w:pPr>
        <w:pStyle w:val="Heading4"/>
      </w:pPr>
      <w:r>
        <w:t xml:space="preserve">5.1.2. Category 4: Upstream Transportation and Distribution</w:t>
      </w:r>
    </w:p>
    <w:p>
      <w:pPr>
        <w:pStyle w:val="FirstParagraph"/>
      </w:pPr>
      <w:r>
        <w:t xml:space="preserve">This covers the transportation of raw materials and components from suppliers to the spwqwgzwgx production facility in China.</w:t>
      </w:r>
    </w:p>
    <w:p>
      <w:pPr>
        <w:pStyle w:val="BodyText"/>
      </w:pPr>
      <w:r>
        <w:rPr>
          <w:bCs/>
          <w:b/>
        </w:rPr>
        <w:t xml:space="preserve">Data Points:</w:t>
      </w:r>
    </w:p>
    <w:p>
      <w:pPr>
        <w:numPr>
          <w:ilvl w:val="0"/>
          <w:numId w:val="1006"/>
        </w:numPr>
        <w:pStyle w:val="Compact"/>
      </w:pPr>
      <w:r>
        <w:rPr>
          <w:bCs/>
          <w:b/>
        </w:rPr>
        <w:t xml:space="preserve">Transport Mode:</w:t>
      </w:r>
      <w:r>
        <w:t xml:space="preserve"> </w:t>
      </w:r>
      <w:r>
        <w:t xml:space="preserve">Predominantly Sea Freight for intercontinental shipping of components to China.</w:t>
      </w:r>
    </w:p>
    <w:p>
      <w:pPr>
        <w:numPr>
          <w:ilvl w:val="0"/>
          <w:numId w:val="1006"/>
        </w:numPr>
        <w:pStyle w:val="Compact"/>
      </w:pPr>
      <w:r>
        <w:rPr>
          <w:bCs/>
          <w:b/>
        </w:rPr>
        <w:t xml:space="preserve">Transport Distance (`xiheowzgxg` - illustrative):</w:t>
      </w:r>
      <w:r>
        <w:t xml:space="preserve"> </w:t>
      </w:r>
      <w:r>
        <w:t xml:space="preserve">18,000 km (e.g., from European suppliers to China).</w:t>
      </w:r>
    </w:p>
    <w:p>
      <w:pPr>
        <w:numPr>
          <w:ilvl w:val="0"/>
          <w:numId w:val="1006"/>
        </w:numPr>
        <w:pStyle w:val="Compact"/>
      </w:pPr>
      <w:r>
        <w:rPr>
          <w:bCs/>
          <w:b/>
        </w:rPr>
        <w:t xml:space="preserve">Total Product Weight (for transport):</w:t>
      </w:r>
      <w:r>
        <w:t xml:space="preserve"> </w:t>
      </w:r>
      <w:r>
        <w:t xml:space="preserve">0.20 kg (for one unit). Assuming components weigh approximately this much in total.</w:t>
      </w:r>
    </w:p>
    <w:p>
      <w:pPr>
        <w:numPr>
          <w:ilvl w:val="0"/>
          <w:numId w:val="1006"/>
        </w:numPr>
        <w:pStyle w:val="Compact"/>
      </w:pPr>
      <w:r>
        <w:rPr>
          <w:bCs/>
          <w:b/>
        </w:rPr>
        <w:t xml:space="preserve">Emission Factor (Sea Freight):</w:t>
      </w:r>
      <w:r>
        <w:t xml:space="preserve"> </w:t>
      </w:r>
      <w:r>
        <w:t xml:space="preserve">0.016 kgCO2e/tkm (tonne-kilometer).</w:t>
      </w:r>
    </w:p>
    <w:bookmarkEnd w:id="32"/>
    <w:bookmarkEnd w:id="33"/>
    <w:bookmarkStart w:id="36" w:name="X408f352e8c24c6d905c8bf53463b7e7adf34a15"/>
    <w:p>
      <w:pPr>
        <w:pStyle w:val="Heading3"/>
      </w:pPr>
      <w:r>
        <w:t xml:space="preserve">5.2. Scope 1 &amp; 2: Operational Emissions (Production Phase)</w:t>
      </w:r>
    </w:p>
    <w:bookmarkStart w:id="34" w:name="scope-1-direct-emissions"/>
    <w:p>
      <w:pPr>
        <w:pStyle w:val="Heading4"/>
      </w:pPr>
      <w:r>
        <w:t xml:space="preserve">5.2.1. Scope 1: Direct Emissions</w:t>
      </w:r>
    </w:p>
    <w:p>
      <w:pPr>
        <w:pStyle w:val="FirstParagraph"/>
      </w:pPr>
      <w:r>
        <w:t xml:space="preserve">For an electronic product manufacturing facility, direct emissions (e.g., on-site fuel combustion) are assumed to be negligible or zero unless specific on-site processes involving direct fuel use are identified. This report assumes no significant Scope 1 emissions for the production of fqgzrklvwm.</w:t>
      </w:r>
    </w:p>
    <w:bookmarkEnd w:id="34"/>
    <w:bookmarkStart w:id="35" w:name="Xe578209a49eabfde2edaf977ad2b592c314c527"/>
    <w:p>
      <w:pPr>
        <w:pStyle w:val="Heading4"/>
      </w:pPr>
      <w:r>
        <w:t xml:space="preserve">5.2.2. Scope 2: Energy Indirect Emissions (Purchased Electricity)</w:t>
      </w:r>
    </w:p>
    <w:p>
      <w:pPr>
        <w:pStyle w:val="FirstParagraph"/>
      </w:pPr>
      <w:r>
        <w:t xml:space="preserve">This covers the emissions from purchased electricity used in the manufacturing process of fqgzrklvwm in China.</w:t>
      </w:r>
    </w:p>
    <w:p>
      <w:pPr>
        <w:pStyle w:val="BodyText"/>
      </w:pPr>
      <w:r>
        <w:rPr>
          <w:bCs/>
          <w:b/>
        </w:rPr>
        <w:t xml:space="preserve">Data Points:</w:t>
      </w:r>
    </w:p>
    <w:p>
      <w:pPr>
        <w:numPr>
          <w:ilvl w:val="0"/>
          <w:numId w:val="1007"/>
        </w:numPr>
        <w:pStyle w:val="Compact"/>
      </w:pPr>
      <w:r>
        <w:rPr>
          <w:bCs/>
          <w:b/>
        </w:rPr>
        <w:t xml:space="preserve">Energy Intensity (kWh/unit):</w:t>
      </w:r>
      <w:r>
        <w:t xml:space="preserve"> </w:t>
      </w:r>
      <w:r>
        <w:t xml:space="preserve">`mojduedxdy` (Illustrative: 0.5 kWh/unit).</w:t>
      </w:r>
    </w:p>
    <w:p>
      <w:pPr>
        <w:numPr>
          <w:ilvl w:val="0"/>
          <w:numId w:val="1007"/>
        </w:numPr>
        <w:pStyle w:val="Compact"/>
      </w:pPr>
      <w:r>
        <w:rPr>
          <w:bCs/>
          <w:b/>
        </w:rPr>
        <w:t xml:space="preserve">Renewable Energy Usage (`mlflxjtesn`):</w:t>
      </w:r>
      <w:r>
        <w:t xml:space="preserve"> </w:t>
      </w:r>
      <w:r>
        <w:t xml:space="preserve">45% of electricity is sourced from renewable energy.</w:t>
      </w:r>
    </w:p>
    <w:p>
      <w:pPr>
        <w:numPr>
          <w:ilvl w:val="0"/>
          <w:numId w:val="1007"/>
        </w:numPr>
        <w:pStyle w:val="Compact"/>
      </w:pPr>
      <w:r>
        <w:rPr>
          <w:bCs/>
          <w:b/>
        </w:rPr>
        <w:t xml:space="preserve">Grid Emission Factor (China):</w:t>
      </w:r>
      <w:r>
        <w:t xml:space="preserve"> </w:t>
      </w:r>
      <w:r>
        <w:t xml:space="preserve">For the remaining non-renewable portion. A representative value for China\'s grid is 0.57 kgCO2e/kWh. Renewable energy is assumed to have an emission factor of 0 kgCO2e/kWh at the point of use (market-based approach).</w:t>
      </w:r>
    </w:p>
    <w:p>
      <w:pPr>
        <w:pStyle w:val="FirstParagraph"/>
      </w:pPr>
      <w:r>
        <w:rPr>
          <w:bCs/>
          <w:b/>
        </w:rPr>
        <w:t xml:space="preserve">Effective Emission Factor for Production Electricity:</w:t>
      </w:r>
      <w:r>
        <w:br/>
      </w:r>
      <w:r>
        <w:t xml:space="preserve">(0.57 kgCO2e/kWh * (1 - 0.45)) + (0 kgCO2e/kWh * 0.45) = 0.57 * 0.55 = 0.3135 kgCO2e/kWh.</w:t>
      </w:r>
    </w:p>
    <w:bookmarkEnd w:id="35"/>
    <w:bookmarkEnd w:id="36"/>
    <w:bookmarkStart w:id="40" w:name="scope-3-downstream-emissions"/>
    <w:p>
      <w:pPr>
        <w:pStyle w:val="Heading3"/>
      </w:pPr>
      <w:r>
        <w:t xml:space="preserve">5.3. Scope 3: Downstream Emissions</w:t>
      </w:r>
    </w:p>
    <w:bookmarkStart w:id="37" w:name="X25a0837e2ca53a982bfb6f58a50970139f4f25f"/>
    <w:p>
      <w:pPr>
        <w:pStyle w:val="Heading4"/>
      </w:pPr>
      <w:r>
        <w:t xml:space="preserve">5.3.1. Category 9: Downstream Transportation and Distribution</w:t>
      </w:r>
    </w:p>
    <w:p>
      <w:pPr>
        <w:pStyle w:val="FirstParagraph"/>
      </w:pPr>
      <w:r>
        <w:t xml:space="preserve">This covers the transportation of the finished product from the factory gate in China to the consumer in Europe.</w:t>
      </w:r>
    </w:p>
    <w:p>
      <w:pPr>
        <w:pStyle w:val="BodyText"/>
      </w:pPr>
      <w:r>
        <w:rPr>
          <w:bCs/>
          <w:b/>
        </w:rPr>
        <w:t xml:space="preserve">Data Points:</w:t>
      </w:r>
    </w:p>
    <w:p>
      <w:pPr>
        <w:numPr>
          <w:ilvl w:val="0"/>
          <w:numId w:val="1008"/>
        </w:numPr>
        <w:pStyle w:val="Compact"/>
      </w:pPr>
      <w:r>
        <w:rPr>
          <w:bCs/>
          <w:b/>
        </w:rPr>
        <w:t xml:space="preserve">Transport Mode:</w:t>
      </w:r>
      <w:r>
        <w:t xml:space="preserve"> </w:t>
      </w:r>
      <w:r>
        <w:t xml:space="preserve">Sea Freight (China to Europe distribution hub) followed by Road Freight (within Europe, including last-mile).</w:t>
      </w:r>
    </w:p>
    <w:p>
      <w:pPr>
        <w:numPr>
          <w:ilvl w:val="0"/>
          <w:numId w:val="1008"/>
        </w:numPr>
        <w:pStyle w:val="Compact"/>
      </w:pPr>
      <w:r>
        <w:rPr>
          <w:bCs/>
          <w:b/>
        </w:rPr>
        <w:t xml:space="preserve">Transport Distance (`xiheowzgxg` - illustrative):</w:t>
      </w:r>
    </w:p>
    <w:p>
      <w:pPr>
        <w:numPr>
          <w:ilvl w:val="1"/>
          <w:numId w:val="1009"/>
        </w:numPr>
        <w:pStyle w:val="Compact"/>
      </w:pPr>
      <w:r>
        <w:t xml:space="preserve">Sea Freight: 18,000 km</w:t>
      </w:r>
    </w:p>
    <w:p>
      <w:pPr>
        <w:numPr>
          <w:ilvl w:val="1"/>
          <w:numId w:val="1009"/>
        </w:numPr>
        <w:pStyle w:val="Compact"/>
      </w:pPr>
      <w:r>
        <w:t xml:space="preserve">Road Freight (Primary Distribution): 1,000 km</w:t>
      </w:r>
    </w:p>
    <w:p>
      <w:pPr>
        <w:numPr>
          <w:ilvl w:val="1"/>
          <w:numId w:val="1009"/>
        </w:numPr>
        <w:pStyle w:val="Compact"/>
      </w:pPr>
      <w:r>
        <w:t xml:space="preserve">Road Freight (Last-Mile Delivery): 50 km</w:t>
      </w:r>
    </w:p>
    <w:p>
      <w:pPr>
        <w:numPr>
          <w:ilvl w:val="0"/>
          <w:numId w:val="1008"/>
        </w:numPr>
        <w:pStyle w:val="Compact"/>
      </w:pPr>
      <w:r>
        <w:rPr>
          <w:bCs/>
          <w:b/>
        </w:rPr>
        <w:t xml:space="preserve">Last-Mile Delivery Channel (`Delivery Type`):</w:t>
      </w:r>
      <w:r>
        <w:t xml:space="preserve"> </w:t>
      </w:r>
      <w:r>
        <w:t xml:space="preserve">Road Courier.</w:t>
      </w:r>
    </w:p>
    <w:p>
      <w:pPr>
        <w:numPr>
          <w:ilvl w:val="0"/>
          <w:numId w:val="1008"/>
        </w:numPr>
        <w:pStyle w:val="Compact"/>
      </w:pPr>
      <w:r>
        <w:rPr>
          <w:bCs/>
          <w:b/>
        </w:rPr>
        <w:t xml:space="preserve">Total Product Weight (for transport):</w:t>
      </w:r>
      <w:r>
        <w:t xml:space="preserve"> </w:t>
      </w:r>
      <w:r>
        <w:t xml:space="preserve">0.20 kg (for one unit).</w:t>
      </w:r>
    </w:p>
    <w:p>
      <w:pPr>
        <w:numPr>
          <w:ilvl w:val="0"/>
          <w:numId w:val="1008"/>
        </w:numPr>
        <w:pStyle w:val="Compact"/>
      </w:pPr>
      <w:r>
        <w:rPr>
          <w:bCs/>
          <w:b/>
        </w:rPr>
        <w:t xml:space="preserve">Emission Factor (Sea Freight):</w:t>
      </w:r>
      <w:r>
        <w:t xml:space="preserve"> </w:t>
      </w:r>
      <w:r>
        <w:t xml:space="preserve">0.016 kgCO2e/tkm.</w:t>
      </w:r>
    </w:p>
    <w:p>
      <w:pPr>
        <w:numPr>
          <w:ilvl w:val="0"/>
          <w:numId w:val="1008"/>
        </w:numPr>
        <w:pStyle w:val="Compact"/>
      </w:pPr>
      <w:r>
        <w:rPr>
          <w:bCs/>
          <w:b/>
        </w:rPr>
        <w:t xml:space="preserve">Emission Factor (Road Freight):</w:t>
      </w:r>
      <w:r>
        <w:t xml:space="preserve"> </w:t>
      </w:r>
      <w:r>
        <w:t xml:space="preserve">0.09 kgCO2e/tkm (illustrative, for heavy goods vehicles).</w:t>
      </w:r>
    </w:p>
    <w:bookmarkEnd w:id="37"/>
    <w:bookmarkStart w:id="38" w:name="category-11-use-of-sold-products"/>
    <w:p>
      <w:pPr>
        <w:pStyle w:val="Heading4"/>
      </w:pPr>
      <w:r>
        <w:t xml:space="preserve">5.3.2. Category 11: Use of Sold Products</w:t>
      </w:r>
    </w:p>
    <w:p>
      <w:pPr>
        <w:pStyle w:val="FirstParagraph"/>
      </w:pPr>
      <w:r>
        <w:t xml:space="preserve">This category accounts for emissions arising from the product\'s use phase by the end-consumer. The GHG Protocol is currently revising guidance for Category 11, exploring an annualized approach over the product\'s lifespan. This report calculates emissions based on the full lifespan.</w:t>
      </w:r>
    </w:p>
    <w:p>
      <w:pPr>
        <w:pStyle w:val="BodyText"/>
      </w:pPr>
      <w:r>
        <w:rPr>
          <w:bCs/>
          <w:b/>
        </w:rPr>
        <w:t xml:space="preserve">Data Points:</w:t>
      </w:r>
    </w:p>
    <w:p>
      <w:pPr>
        <w:numPr>
          <w:ilvl w:val="0"/>
          <w:numId w:val="1010"/>
        </w:numPr>
        <w:pStyle w:val="Compact"/>
      </w:pPr>
      <w:r>
        <w:rPr>
          <w:bCs/>
          <w:b/>
        </w:rPr>
        <w:t xml:space="preserve">Product Lifespan (`sgygdzxotd`):</w:t>
      </w:r>
      <w:r>
        <w:t xml:space="preserve"> </w:t>
      </w:r>
      <w:r>
        <w:t xml:space="preserve">5 years (1825 days).</w:t>
      </w:r>
    </w:p>
    <w:p>
      <w:pPr>
        <w:numPr>
          <w:ilvl w:val="0"/>
          <w:numId w:val="1010"/>
        </w:numPr>
        <w:pStyle w:val="Compact"/>
      </w:pPr>
      <w:r>
        <w:rPr>
          <w:bCs/>
          <w:b/>
        </w:rPr>
        <w:t xml:space="preserve">Energy Consumption in Use (`npgljsjqxp`):</w:t>
      </w:r>
      <w:r>
        <w:t xml:space="preserve"> </w:t>
      </w:r>
      <w:r>
        <w:t xml:space="preserve">0.005 kWh/day.</w:t>
      </w:r>
    </w:p>
    <w:p>
      <w:pPr>
        <w:numPr>
          <w:ilvl w:val="0"/>
          <w:numId w:val="1010"/>
        </w:numPr>
        <w:pStyle w:val="Compact"/>
      </w:pPr>
      <w:r>
        <w:rPr>
          <w:bCs/>
          <w:b/>
        </w:rPr>
        <w:t xml:space="preserve">Electricity Grid Emission Factor (Europe):</w:t>
      </w:r>
      <w:r>
        <w:t xml:space="preserve"> </w:t>
      </w:r>
      <w:r>
        <w:t xml:space="preserve">A generic average for European grid electricity is assumed to be 0.25 kgCO2e/kWh (e.g., German mix in 2020 was 0.366 kgCO2e/kWh, but a more recent or specific factor for the target market would be preferable if available).</w:t>
      </w:r>
    </w:p>
    <w:bookmarkEnd w:id="38"/>
    <w:bookmarkStart w:id="39" w:name="X9f66eef2700632e081dfe139021cb724ffcd2c5"/>
    <w:p>
      <w:pPr>
        <w:pStyle w:val="Heading4"/>
      </w:pPr>
      <w:r>
        <w:t xml:space="preserve">5.3.3. Category 12: End-of-Life Treatment of Sold Products</w:t>
      </w:r>
    </w:p>
    <w:p>
      <w:pPr>
        <w:pStyle w:val="FirstParagraph"/>
      </w:pPr>
      <w:r>
        <w:t xml:space="preserve">This category covers emissions from the disposal or recycling of fqgzrklvwm at the end of its lifespan.</w:t>
      </w:r>
    </w:p>
    <w:p>
      <w:pPr>
        <w:pStyle w:val="BodyText"/>
      </w:pPr>
      <w:r>
        <w:rPr>
          <w:bCs/>
          <w:b/>
        </w:rPr>
        <w:t xml:space="preserve">Data Points:</w:t>
      </w:r>
    </w:p>
    <w:p>
      <w:pPr>
        <w:numPr>
          <w:ilvl w:val="0"/>
          <w:numId w:val="1011"/>
        </w:numPr>
        <w:pStyle w:val="Compact"/>
      </w:pPr>
      <w:r>
        <w:rPr>
          <w:bCs/>
          <w:b/>
        </w:rPr>
        <w:t xml:space="preserve">Total Product Weight (at EoL):</w:t>
      </w:r>
      <w:r>
        <w:t xml:space="preserve"> </w:t>
      </w:r>
      <w:r>
        <w:t xml:space="preserve">0.20 kg.</w:t>
      </w:r>
    </w:p>
    <w:p>
      <w:pPr>
        <w:numPr>
          <w:ilvl w:val="0"/>
          <w:numId w:val="1011"/>
        </w:numPr>
        <w:pStyle w:val="Compact"/>
      </w:pPr>
      <w:r>
        <w:rPr>
          <w:bCs/>
          <w:b/>
        </w:rPr>
        <w:t xml:space="preserve">Recyclability Percentage (`tnyhhvstte`):</w:t>
      </w:r>
      <w:r>
        <w:t xml:space="preserve"> </w:t>
      </w:r>
      <w:r>
        <w:t xml:space="preserve">70%.</w:t>
      </w:r>
    </w:p>
    <w:p>
      <w:pPr>
        <w:numPr>
          <w:ilvl w:val="0"/>
          <w:numId w:val="1011"/>
        </w:numPr>
        <w:pStyle w:val="Compact"/>
      </w:pPr>
      <w:r>
        <w:rPr>
          <w:bCs/>
          <w:b/>
        </w:rPr>
        <w:t xml:space="preserve">Non-Recycled Portion:</w:t>
      </w:r>
      <w:r>
        <w:t xml:space="preserve"> </w:t>
      </w:r>
      <w:r>
        <w:t xml:space="preserve">30% (assumed to go to landfill).</w:t>
      </w:r>
    </w:p>
    <w:p>
      <w:pPr>
        <w:numPr>
          <w:ilvl w:val="0"/>
          <w:numId w:val="1011"/>
        </w:numPr>
        <w:pStyle w:val="Compact"/>
      </w:pPr>
      <w:r>
        <w:rPr>
          <w:bCs/>
          <w:b/>
        </w:rPr>
        <w:t xml:space="preserve">Circular/Take-back Programs (`mldpviqwnd`):</w:t>
      </w:r>
      <w:r>
        <w:t xml:space="preserve"> </w:t>
      </w:r>
      <w:r>
        <w:t xml:space="preserve">spwqwgzwgx operates a "Product take-back and refurbishment program," which will positively influence EoL impacts by extending product life and enabling higher recycling or reuse rates.</w:t>
      </w:r>
    </w:p>
    <w:p>
      <w:pPr>
        <w:numPr>
          <w:ilvl w:val="0"/>
          <w:numId w:val="1011"/>
        </w:numPr>
        <w:pStyle w:val="Compact"/>
      </w:pPr>
      <w:r>
        <w:rPr>
          <w:bCs/>
          <w:b/>
        </w:rPr>
        <w:t xml:space="preserve">Emission Factor (Plastics Landfill):</w:t>
      </w:r>
      <w:r>
        <w:t xml:space="preserve"> </w:t>
      </w:r>
      <w:r>
        <w:t xml:space="preserve">0.033 kgCO2e/kg (for plastic waste disposal to landfill).</w:t>
      </w:r>
    </w:p>
    <w:p>
      <w:pPr>
        <w:numPr>
          <w:ilvl w:val="0"/>
          <w:numId w:val="1011"/>
        </w:numPr>
        <w:pStyle w:val="Compact"/>
      </w:pPr>
      <w:r>
        <w:rPr>
          <w:bCs/>
          <w:b/>
        </w:rPr>
        <w:t xml:space="preserve">Emission Factor (Recycling Credit):</w:t>
      </w:r>
      <w:r>
        <w:t xml:space="preserve"> </w:t>
      </w:r>
      <w:r>
        <w:t xml:space="preserve">While direct EFs for recycling processes can be positive (due to energy use in recycling facilities), the primary benefit and accounting often comes from avoiding virgin material production. For this analysis, the 70% recyclability will be considered as avoided emissions by offsetting the equivalent amount of virgin material production, rather than simply adding recycling process emissions. The GHG Protocol advises on how to consider these benefits.</w:t>
      </w:r>
    </w:p>
    <w:bookmarkEnd w:id="39"/>
    <w:bookmarkEnd w:id="40"/>
    <w:bookmarkEnd w:id="41"/>
    <w:p>
      <w:r>
        <w:pict>
          <v:rect style="width:0;height:1.5pt" o:hralign="center" o:hrstd="t" o:hr="t"/>
        </w:pict>
      </w:r>
    </w:p>
    <w:bookmarkStart w:id="55" w:name="Xa991e7faf76bdf88064e0090ec77f0e137174e3"/>
    <w:p>
      <w:pPr>
        <w:pStyle w:val="Heading2"/>
      </w:pPr>
      <w:r>
        <w:t xml:space="preserve">6. Step 4: Calculate Emissions (Activity * Emission Factor = CO2e)</w:t>
      </w:r>
    </w:p>
    <w:p>
      <w:pPr>
        <w:pStyle w:val="FirstParagraph"/>
      </w:pPr>
      <w:r>
        <w:t xml:space="preserve">This section presents the detailed calculations for the Product Carbon Footprint of one unit of fqgzrklvwm, broken down by lifecycle stage and GHG Protocol scope. All figures are in kg CO2e per functional unit.</w:t>
      </w:r>
    </w:p>
    <w:bookmarkStart w:id="44" w:name="scope-3-upstream-emissions-1"/>
    <w:p>
      <w:pPr>
        <w:pStyle w:val="Heading3"/>
      </w:pPr>
      <w:r>
        <w:t xml:space="preserve">6.1. Scope 3: Upstream Emissions</w:t>
      </w:r>
    </w:p>
    <w:bookmarkStart w:id="42" w:name="Xab9729a0caae076ca89f2f71668734f92723cf2"/>
    <w:p>
      <w:pPr>
        <w:pStyle w:val="Heading4"/>
      </w:pPr>
      <w:r>
        <w:t xml:space="preserve">6.1.1. Category 1: Purchased Goods and Services (Materials)</w:t>
      </w:r>
    </w:p>
    <w:p>
      <w:pPr>
        <w:pStyle w:val="FirstParagraph"/>
      </w:pPr>
      <w:r>
        <w:t xml:space="preserve">Calculations based on the illustrative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Plastic Casing (ABS)</w:t>
            </w:r>
          </w:p>
        </w:tc>
        <w:tc>
          <w:tcPr/>
          <w:p>
            <w:pPr>
              <w:pStyle w:val="Compact"/>
              <w:jc w:val="left"/>
            </w:pPr>
            <w:r>
              <w:t xml:space="preserve">0.08</w:t>
            </w:r>
          </w:p>
        </w:tc>
        <w:tc>
          <w:tcPr/>
          <w:p>
            <w:pPr>
              <w:pStyle w:val="Compact"/>
              <w:jc w:val="left"/>
            </w:pPr>
            <w:r>
              <w:t xml:space="preserve">2.50</w:t>
            </w:r>
          </w:p>
        </w:tc>
        <w:tc>
          <w:tcPr/>
          <w:p>
            <w:pPr>
              <w:pStyle w:val="Compact"/>
              <w:jc w:val="left"/>
            </w:pPr>
            <w:r>
              <w:t xml:space="preserve">0.200</w:t>
            </w:r>
          </w:p>
        </w:tc>
      </w:tr>
      <w:tr>
        <w:tc>
          <w:tcPr/>
          <w:p>
            <w:pPr>
              <w:pStyle w:val="Compact"/>
              <w:jc w:val="left"/>
            </w:pPr>
            <w:r>
              <w:t xml:space="preserve">Circuit Board (PCB)</w:t>
            </w:r>
          </w:p>
        </w:tc>
        <w:tc>
          <w:tcPr/>
          <w:p>
            <w:pPr>
              <w:pStyle w:val="Compact"/>
              <w:jc w:val="left"/>
            </w:pPr>
            <w:r>
              <w:t xml:space="preserve">0.05</w:t>
            </w:r>
          </w:p>
        </w:tc>
        <w:tc>
          <w:tcPr/>
          <w:p>
            <w:pPr>
              <w:pStyle w:val="Compact"/>
              <w:jc w:val="left"/>
            </w:pPr>
            <w:r>
              <w:t xml:space="preserve">16.00</w:t>
            </w:r>
          </w:p>
        </w:tc>
        <w:tc>
          <w:tcPr/>
          <w:p>
            <w:pPr>
              <w:pStyle w:val="Compact"/>
              <w:jc w:val="left"/>
            </w:pPr>
            <w:r>
              <w:t xml:space="preserve">0.800</w:t>
            </w:r>
          </w:p>
        </w:tc>
      </w:tr>
      <w:tr>
        <w:tc>
          <w:tcPr/>
          <w:p>
            <w:pPr>
              <w:pStyle w:val="Compact"/>
              <w:jc w:val="left"/>
            </w:pPr>
            <w:r>
              <w:t xml:space="preserve">Lithium Battery</w:t>
            </w:r>
          </w:p>
        </w:tc>
        <w:tc>
          <w:tcPr/>
          <w:p>
            <w:pPr>
              <w:pStyle w:val="Compact"/>
              <w:jc w:val="left"/>
            </w:pPr>
            <w:r>
              <w:t xml:space="preserve">0.04</w:t>
            </w:r>
          </w:p>
        </w:tc>
        <w:tc>
          <w:tcPr/>
          <w:p>
            <w:pPr>
              <w:pStyle w:val="Compact"/>
              <w:jc w:val="left"/>
            </w:pPr>
            <w:r>
              <w:t xml:space="preserve">18.00</w:t>
            </w:r>
          </w:p>
        </w:tc>
        <w:tc>
          <w:tcPr/>
          <w:p>
            <w:pPr>
              <w:pStyle w:val="Compact"/>
              <w:jc w:val="left"/>
            </w:pPr>
            <w:r>
              <w:t xml:space="preserve">0.720</w:t>
            </w:r>
          </w:p>
        </w:tc>
      </w:tr>
      <w:tr>
        <w:tc>
          <w:tcPr/>
          <w:p>
            <w:pPr>
              <w:pStyle w:val="Compact"/>
              <w:jc w:val="left"/>
            </w:pPr>
            <w:r>
              <w:t xml:space="preserve">Connectors</w:t>
            </w:r>
          </w:p>
        </w:tc>
        <w:tc>
          <w:tcPr/>
          <w:p>
            <w:pPr>
              <w:pStyle w:val="Compact"/>
              <w:jc w:val="left"/>
            </w:pPr>
            <w:r>
              <w:t xml:space="preserve">0.02</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Packaging (Cardboard)</w:t>
            </w:r>
          </w:p>
        </w:tc>
        <w:tc>
          <w:tcPr/>
          <w:p>
            <w:pPr>
              <w:pStyle w:val="Compact"/>
              <w:jc w:val="left"/>
            </w:pPr>
            <w:r>
              <w:t xml:space="preserve">0.01</w:t>
            </w:r>
          </w:p>
        </w:tc>
        <w:tc>
          <w:tcPr/>
          <w:p>
            <w:pPr>
              <w:pStyle w:val="Compact"/>
              <w:jc w:val="left"/>
            </w:pPr>
            <w:r>
              <w:t xml:space="preserve">1.20</w:t>
            </w:r>
          </w:p>
        </w:tc>
        <w:tc>
          <w:tcPr/>
          <w:p>
            <w:pPr>
              <w:pStyle w:val="Compact"/>
              <w:jc w:val="left"/>
            </w:pPr>
            <w:r>
              <w:t xml:space="preserve">0.012</w:t>
            </w:r>
          </w:p>
        </w:tc>
      </w:tr>
      <w:tr>
        <w:tc>
          <w:tcPr>
            <w:gridSpan w:val="3"/>
          </w:tcPr>
          <w:p>
            <w:pPr>
              <w:pStyle w:val="Compact"/>
              <w:jc w:val="left"/>
            </w:pPr>
            <w:r>
              <w:rPr>
                <w:bCs/>
                <w:b/>
              </w:rPr>
              <w:t xml:space="preserve">Subtotal (Materials)</w:t>
            </w:r>
          </w:p>
        </w:tc>
        <w:tc>
          <w:tcPr/>
          <w:p>
            <w:pPr>
              <w:pStyle w:val="Compact"/>
              <w:jc w:val="left"/>
            </w:pPr>
            <w:r>
              <w:rPr>
                <w:bCs/>
                <w:b/>
              </w:rPr>
              <w:t xml:space="preserve">1.892 kgCO2e</w:t>
            </w:r>
          </w:p>
        </w:tc>
      </w:tr>
    </w:tbl>
    <w:bookmarkEnd w:id="42"/>
    <w:bookmarkStart w:id="43" w:name="X9fac9e46a429ed4d940a7a0030e2f511e4441ab"/>
    <w:p>
      <w:pPr>
        <w:pStyle w:val="Heading4"/>
      </w:pPr>
      <w:r>
        <w:t xml:space="preserve">6.1.2. Category 4: Upstream Transportation and Distribution</w:t>
      </w:r>
    </w:p>
    <w:p>
      <w:pPr>
        <w:pStyle w:val="FirstParagraph"/>
      </w:pPr>
      <w:r>
        <w:t xml:space="preserve">Assuming a single primary component shipment for simplification:</w:t>
      </w:r>
    </w:p>
    <w:p>
      <w:pPr>
        <w:numPr>
          <w:ilvl w:val="0"/>
          <w:numId w:val="1012"/>
        </w:numPr>
        <w:pStyle w:val="Compact"/>
      </w:pPr>
      <w:r>
        <w:rPr>
          <w:bCs/>
          <w:b/>
        </w:rPr>
        <w:t xml:space="preserve">Sea Freight:</w:t>
      </w:r>
      <w:r>
        <w:t xml:space="preserve"> </w:t>
      </w:r>
      <w:r>
        <w:t xml:space="preserve">(0.20 kg / 1000 kg/tonne) * 18,000 km * 0.016 kgCO2e/tkm = 0.0032 kgCO2e</w:t>
      </w:r>
    </w:p>
    <w:p>
      <w:pPr>
        <w:pStyle w:val="FirstParagraph"/>
      </w:pPr>
      <w:r>
        <w:rPr>
          <w:bCs/>
          <w:b/>
        </w:rPr>
        <w:t xml:space="preserve">Subtotal (Upstream Transport):</w:t>
      </w:r>
      <w:r>
        <w:t xml:space="preserve"> </w:t>
      </w:r>
      <w:r>
        <w:t xml:space="preserve">0.0032 kgCO2e</w:t>
      </w:r>
    </w:p>
    <w:bookmarkEnd w:id="43"/>
    <w:bookmarkEnd w:id="44"/>
    <w:bookmarkStart w:id="47" w:name="X3ac2a4a3d756b50bf1f4d2f749cfb7485907722"/>
    <w:p>
      <w:pPr>
        <w:pStyle w:val="Heading3"/>
      </w:pPr>
      <w:r>
        <w:t xml:space="preserve">6.2. Scope 1 &amp; 2: Operational Emissions (Production Phase)</w:t>
      </w:r>
    </w:p>
    <w:bookmarkStart w:id="45" w:name="scope-1-direct-emissions-1"/>
    <w:p>
      <w:pPr>
        <w:pStyle w:val="Heading4"/>
      </w:pPr>
      <w:r>
        <w:t xml:space="preserve">6.2.1. Scope 1: Direct Emissions</w:t>
      </w:r>
    </w:p>
    <w:p>
      <w:pPr>
        <w:pStyle w:val="FirstParagraph"/>
      </w:pPr>
      <w:r>
        <w:t xml:space="preserve">Assumed to be negligible for this product.</w:t>
      </w:r>
      <w:r>
        <w:t xml:space="preserve"> </w:t>
      </w:r>
      <w:r>
        <w:rPr>
          <w:bCs/>
          <w:b/>
        </w:rPr>
        <w:t xml:space="preserve">Subtotal (Scope 1): 0.000 kgCO2e</w:t>
      </w:r>
    </w:p>
    <w:bookmarkEnd w:id="45"/>
    <w:bookmarkStart w:id="46" w:name="Xabd984dfc9952c9138463baf5bbecc09ba01902"/>
    <w:p>
      <w:pPr>
        <w:pStyle w:val="Heading4"/>
      </w:pPr>
      <w:r>
        <w:t xml:space="preserve">6.2.2. Scope 2: Energy Indirect Emissions (Purchased Electricity)</w:t>
      </w:r>
    </w:p>
    <w:p>
      <w:pPr>
        <w:numPr>
          <w:ilvl w:val="0"/>
          <w:numId w:val="1013"/>
        </w:numPr>
        <w:pStyle w:val="Compact"/>
      </w:pPr>
      <w:r>
        <w:rPr>
          <w:bCs/>
          <w:b/>
        </w:rPr>
        <w:t xml:space="preserve">Energy Consumption:</w:t>
      </w:r>
      <w:r>
        <w:t xml:space="preserve"> </w:t>
      </w:r>
      <w:r>
        <w:t xml:space="preserve">0.5 kWh/unit</w:t>
      </w:r>
    </w:p>
    <w:p>
      <w:pPr>
        <w:numPr>
          <w:ilvl w:val="0"/>
          <w:numId w:val="1013"/>
        </w:numPr>
        <w:pStyle w:val="Compact"/>
      </w:pPr>
      <w:r>
        <w:rPr>
          <w:bCs/>
          <w:b/>
        </w:rPr>
        <w:t xml:space="preserve">Effective Emission Factor:</w:t>
      </w:r>
      <w:r>
        <w:t xml:space="preserve"> </w:t>
      </w:r>
      <w:r>
        <w:t xml:space="preserve">0.3135 kgCO2e/kWh (calculated based on 45% renewable usage and China grid mix)</w:t>
      </w:r>
    </w:p>
    <w:p>
      <w:pPr>
        <w:numPr>
          <w:ilvl w:val="0"/>
          <w:numId w:val="1013"/>
        </w:numPr>
        <w:pStyle w:val="Compact"/>
      </w:pPr>
      <w:r>
        <w:rPr>
          <w:bCs/>
          <w:b/>
        </w:rPr>
        <w:t xml:space="preserve">Calculation:</w:t>
      </w:r>
      <w:r>
        <w:t xml:space="preserve"> </w:t>
      </w:r>
      <w:r>
        <w:t xml:space="preserve">0.5 kWh/unit * 0.3135 kgCO2e/kWh = 0.15675 kgCO2e</w:t>
      </w:r>
    </w:p>
    <w:p>
      <w:pPr>
        <w:pStyle w:val="FirstParagraph"/>
      </w:pPr>
      <w:r>
        <w:rPr>
          <w:bCs/>
          <w:b/>
        </w:rPr>
        <w:t xml:space="preserve">Subtotal (Scope 2):</w:t>
      </w:r>
      <w:r>
        <w:t xml:space="preserve"> </w:t>
      </w:r>
      <w:r>
        <w:t xml:space="preserve">0.15675 kgCO2e</w:t>
      </w:r>
    </w:p>
    <w:bookmarkEnd w:id="46"/>
    <w:bookmarkEnd w:id="47"/>
    <w:bookmarkStart w:id="51" w:name="scope-3-downstream-emissions-1"/>
    <w:p>
      <w:pPr>
        <w:pStyle w:val="Heading3"/>
      </w:pPr>
      <w:r>
        <w:t xml:space="preserve">6.3. Scope 3: Downstream Emissions</w:t>
      </w:r>
    </w:p>
    <w:bookmarkStart w:id="48" w:name="X9003f1581338f5ba6b5c840953a8f7c42e6972e"/>
    <w:p>
      <w:pPr>
        <w:pStyle w:val="Heading4"/>
      </w:pPr>
      <w:r>
        <w:t xml:space="preserve">6.3.1. Category 9: Downstream Transportation and Distribution</w:t>
      </w:r>
    </w:p>
    <w:p>
      <w:pPr>
        <w:numPr>
          <w:ilvl w:val="0"/>
          <w:numId w:val="1014"/>
        </w:numPr>
        <w:pStyle w:val="Compact"/>
      </w:pPr>
      <w:r>
        <w:rPr>
          <w:bCs/>
          <w:b/>
        </w:rPr>
        <w:t xml:space="preserve">Sea Freight (China to Europe):</w:t>
      </w:r>
      <w:r>
        <w:t xml:space="preserve"> </w:t>
      </w:r>
      <w:r>
        <w:t xml:space="preserve">(0.20 kg / 1000 kg/tonne) * 18,000 km * 0.016 kgCO2e/tkm = 0.0032 kgCO2e</w:t>
      </w:r>
    </w:p>
    <w:p>
      <w:pPr>
        <w:numPr>
          <w:ilvl w:val="0"/>
          <w:numId w:val="1014"/>
        </w:numPr>
        <w:pStyle w:val="Compact"/>
      </w:pPr>
      <w:r>
        <w:rPr>
          <w:bCs/>
          <w:b/>
        </w:rPr>
        <w:t xml:space="preserve">Road Freight (Primary Distribution in Europe):</w:t>
      </w:r>
      <w:r>
        <w:t xml:space="preserve"> </w:t>
      </w:r>
      <w:r>
        <w:t xml:space="preserve">(0.20 kg / 1000 kg/tonne) * 1,000 km * 0.09 kgCO2e/tkm = 0.018 kgCO2e</w:t>
      </w:r>
    </w:p>
    <w:p>
      <w:pPr>
        <w:numPr>
          <w:ilvl w:val="0"/>
          <w:numId w:val="1014"/>
        </w:numPr>
        <w:pStyle w:val="Compact"/>
      </w:pPr>
      <w:r>
        <w:rPr>
          <w:bCs/>
          <w:b/>
        </w:rPr>
        <w:t xml:space="preserve">Road Freight (Last-Mile Delivery in Europe):</w:t>
      </w:r>
      <w:r>
        <w:t xml:space="preserve"> </w:t>
      </w:r>
      <w:r>
        <w:t xml:space="preserve">(0.20 kg / 1000 kg/tonne) * 50 km * 0.09 kgCO2e/tkm = 0.0009 kgCO2e</w:t>
      </w:r>
    </w:p>
    <w:p>
      <w:pPr>
        <w:pStyle w:val="FirstParagraph"/>
      </w:pPr>
      <w:r>
        <w:rPr>
          <w:bCs/>
          <w:b/>
        </w:rPr>
        <w:t xml:space="preserve">Subtotal (Downstream Transport):</w:t>
      </w:r>
      <w:r>
        <w:t xml:space="preserve"> </w:t>
      </w:r>
      <w:r>
        <w:t xml:space="preserve">0.0221 kgCO2e</w:t>
      </w:r>
    </w:p>
    <w:bookmarkEnd w:id="48"/>
    <w:bookmarkStart w:id="49" w:name="category-11-use-of-sold-products-1"/>
    <w:p>
      <w:pPr>
        <w:pStyle w:val="Heading4"/>
      </w:pPr>
      <w:r>
        <w:t xml:space="preserve">6.3.2. Category 11: Use of Sold Products</w:t>
      </w:r>
    </w:p>
    <w:p>
      <w:pPr>
        <w:numPr>
          <w:ilvl w:val="0"/>
          <w:numId w:val="1015"/>
        </w:numPr>
        <w:pStyle w:val="Compact"/>
      </w:pPr>
      <w:r>
        <w:rPr>
          <w:bCs/>
          <w:b/>
        </w:rPr>
        <w:t xml:space="preserve">Total Energy Consumption:</w:t>
      </w:r>
      <w:r>
        <w:t xml:space="preserve"> </w:t>
      </w:r>
      <w:r>
        <w:t xml:space="preserve">0.005 kWh/day * 1825 days (5 years) = 9.125 kWh</w:t>
      </w:r>
    </w:p>
    <w:p>
      <w:pPr>
        <w:numPr>
          <w:ilvl w:val="0"/>
          <w:numId w:val="1015"/>
        </w:numPr>
        <w:pStyle w:val="Compact"/>
      </w:pPr>
      <w:r>
        <w:rPr>
          <w:bCs/>
          <w:b/>
        </w:rPr>
        <w:t xml:space="preserve">Europe Grid Emission Factor:</w:t>
      </w:r>
      <w:r>
        <w:t xml:space="preserve"> </w:t>
      </w:r>
      <w:r>
        <w:t xml:space="preserve">0.25 kgCO2e/kWh (illustrative for Europe)</w:t>
      </w:r>
    </w:p>
    <w:p>
      <w:pPr>
        <w:numPr>
          <w:ilvl w:val="0"/>
          <w:numId w:val="1015"/>
        </w:numPr>
        <w:pStyle w:val="Compact"/>
      </w:pPr>
      <w:r>
        <w:rPr>
          <w:bCs/>
          <w:b/>
        </w:rPr>
        <w:t xml:space="preserve">Calculation:</w:t>
      </w:r>
      <w:r>
        <w:t xml:space="preserve"> </w:t>
      </w:r>
      <w:r>
        <w:t xml:space="preserve">9.125 kWh * 0.25 kgCO2e/kWh = 2.28125 kgCO2e</w:t>
      </w:r>
    </w:p>
    <w:p>
      <w:pPr>
        <w:pStyle w:val="FirstParagraph"/>
      </w:pPr>
      <w:r>
        <w:rPr>
          <w:bCs/>
          <w:b/>
        </w:rPr>
        <w:t xml:space="preserve">Subtotal (Use Phase):</w:t>
      </w:r>
      <w:r>
        <w:t xml:space="preserve"> </w:t>
      </w:r>
      <w:r>
        <w:t xml:space="preserve">2.28125 kgCO2e</w:t>
      </w:r>
    </w:p>
    <w:bookmarkEnd w:id="49"/>
    <w:bookmarkStart w:id="50" w:name="Xa83b431afe3831c3b0ca2179dfea83f3bdcc6d5"/>
    <w:p>
      <w:pPr>
        <w:pStyle w:val="Heading4"/>
      </w:pPr>
      <w:r>
        <w:t xml:space="preserve">6.3.3. Category 12: End-of-Life Treatment of Sold Products</w:t>
      </w:r>
    </w:p>
    <w:p>
      <w:pPr>
        <w:numPr>
          <w:ilvl w:val="0"/>
          <w:numId w:val="1016"/>
        </w:numPr>
        <w:pStyle w:val="Compact"/>
      </w:pPr>
      <w:r>
        <w:rPr>
          <w:bCs/>
          <w:b/>
        </w:rPr>
        <w:t xml:space="preserve">Mass to Landfill:</w:t>
      </w:r>
      <w:r>
        <w:t xml:space="preserve"> </w:t>
      </w:r>
      <w:r>
        <w:t xml:space="preserve">0.20 kg * (1 - 0.70) = 0.06 kg</w:t>
      </w:r>
    </w:p>
    <w:p>
      <w:pPr>
        <w:numPr>
          <w:ilvl w:val="0"/>
          <w:numId w:val="1016"/>
        </w:numPr>
        <w:pStyle w:val="Compact"/>
      </w:pPr>
      <w:r>
        <w:rPr>
          <w:bCs/>
          <w:b/>
        </w:rPr>
        <w:t xml:space="preserve">Landfill Emissions:</w:t>
      </w:r>
      <w:r>
        <w:t xml:space="preserve"> </w:t>
      </w:r>
      <w:r>
        <w:t xml:space="preserve">0.06 kg * 0.033 kgCO2e/kg = 0.00198 kgCO2e</w:t>
      </w:r>
    </w:p>
    <w:p>
      <w:pPr>
        <w:numPr>
          <w:ilvl w:val="0"/>
          <w:numId w:val="1016"/>
        </w:numPr>
        <w:pStyle w:val="Compact"/>
      </w:pPr>
      <w:r>
        <w:rPr>
          <w:bCs/>
          <w:b/>
        </w:rPr>
        <w:t xml:space="preserve">Recycling Benefit:</w:t>
      </w:r>
      <w:r>
        <w:t xml:space="preserve"> </w:t>
      </w:r>
      <w:r>
        <w:t xml:space="preserve">For the 70% recycled portion (0.14 kg), a credit for avoided virgin material production could be applied. For simplicity in direct calculation, we report the landfill emissions. The circular program further extends product life and reduces net EoL impact, which is a qualitative benefit to be noted.</w:t>
      </w:r>
    </w:p>
    <w:p>
      <w:pPr>
        <w:pStyle w:val="FirstParagraph"/>
      </w:pPr>
      <w:r>
        <w:rPr>
          <w:bCs/>
          <w:b/>
        </w:rPr>
        <w:t xml:space="preserve">Subtotal (End-of-Life - Landfill portion):</w:t>
      </w:r>
      <w:r>
        <w:t xml:space="preserve"> </w:t>
      </w:r>
      <w:r>
        <w:t xml:space="preserve">0.00198 kgCO2e</w:t>
      </w:r>
    </w:p>
    <w:bookmarkEnd w:id="50"/>
    <w:bookmarkEnd w:id="51"/>
    <w:bookmarkStart w:id="52" w:name="X299a3717db401fbc63eac38de0814f3ad8939f4"/>
    <w:p>
      <w:pPr>
        <w:pStyle w:val="Heading3"/>
      </w:pPr>
      <w:r>
        <w:t xml:space="preserve">6.4.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(kgCO2e per unit)</w:t>
            </w:r>
          </w:p>
        </w:tc>
        <w:tc>
          <w:tcPr/>
          <w:p>
            <w:pPr>
              <w:pStyle w:val="Compact"/>
              <w:jc w:val="left"/>
            </w:pPr>
            <w:r>
              <w:t xml:space="preserve">Percentage (%)</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Materials (Category 1)</w:t>
            </w:r>
          </w:p>
        </w:tc>
        <w:tc>
          <w:tcPr/>
          <w:p>
            <w:pPr>
              <w:pStyle w:val="Compact"/>
              <w:jc w:val="left"/>
            </w:pPr>
            <w:r>
              <w:t xml:space="preserve">1.89200</w:t>
            </w:r>
          </w:p>
        </w:tc>
        <w:tc>
          <w:tcPr/>
          <w:p>
            <w:pPr>
              <w:pStyle w:val="Compact"/>
              <w:jc w:val="left"/>
            </w:pPr>
            <w:r>
              <w:t xml:space="preserve">42.6%</w:t>
            </w:r>
          </w:p>
        </w:tc>
      </w:tr>
      <w:tr>
        <w:tc>
          <w:tcPr/>
          <w:p>
            <w:pPr>
              <w:pStyle w:val="Compact"/>
              <w:jc w:val="left"/>
            </w:pPr>
            <w:r>
              <w:t xml:space="preserve">    Upstream Transport (Category 4)</w:t>
            </w:r>
          </w:p>
        </w:tc>
        <w:tc>
          <w:tcPr/>
          <w:p>
            <w:pPr>
              <w:pStyle w:val="Compact"/>
              <w:jc w:val="left"/>
            </w:pPr>
            <w:r>
              <w:t xml:space="preserve">0.00320</w:t>
            </w:r>
          </w:p>
        </w:tc>
        <w:tc>
          <w:tcPr/>
          <w:p>
            <w:pPr>
              <w:pStyle w:val="Compact"/>
              <w:jc w:val="left"/>
            </w:pPr>
            <w:r>
              <w:t xml:space="preserve">0.1%</w:t>
            </w:r>
          </w:p>
        </w:tc>
      </w:tr>
      <w:tr>
        <w:tc>
          <w:tcPr/>
          <w:p>
            <w:pPr>
              <w:pStyle w:val="Compact"/>
              <w:jc w:val="left"/>
            </w:pPr>
            <w:r>
              <w:rPr>
                <w:bCs/>
                <w:b/>
              </w:rPr>
              <w:t xml:space="preserve">Scope 1 &amp; 2:</w:t>
            </w:r>
          </w:p>
        </w:tc>
        <w:tc>
          <w:tcPr/>
          <w:p>
            <w:pPr>
              <w:pStyle w:val="Compact"/>
            </w:pPr>
          </w:p>
        </w:tc>
        <w:tc>
          <w:tcPr/>
          <w:p>
            <w:pPr>
              <w:pStyle w:val="Compact"/>
            </w:pPr>
          </w:p>
        </w:tc>
      </w:tr>
      <w:tr>
        <w:tc>
          <w:tcPr/>
          <w:p>
            <w:pPr>
              <w:pStyle w:val="Compact"/>
              <w:jc w:val="left"/>
            </w:pPr>
            <w:r>
              <w:t xml:space="preserve">    Production (Scope 2 - Electricity)</w:t>
            </w:r>
          </w:p>
        </w:tc>
        <w:tc>
          <w:tcPr/>
          <w:p>
            <w:pPr>
              <w:pStyle w:val="Compact"/>
              <w:jc w:val="left"/>
            </w:pPr>
            <w:r>
              <w:t xml:space="preserve">0.15675</w:t>
            </w:r>
          </w:p>
        </w:tc>
        <w:tc>
          <w:tcPr/>
          <w:p>
            <w:pPr>
              <w:pStyle w:val="Compact"/>
              <w:jc w:val="left"/>
            </w:pPr>
            <w:r>
              <w:t xml:space="preserve">3.5%</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Downstream Transport (Category 9)</w:t>
            </w:r>
          </w:p>
        </w:tc>
        <w:tc>
          <w:tcPr/>
          <w:p>
            <w:pPr>
              <w:pStyle w:val="Compact"/>
              <w:jc w:val="left"/>
            </w:pPr>
            <w:r>
              <w:t xml:space="preserve">0.02210</w:t>
            </w:r>
          </w:p>
        </w:tc>
        <w:tc>
          <w:tcPr/>
          <w:p>
            <w:pPr>
              <w:pStyle w:val="Compact"/>
              <w:jc w:val="left"/>
            </w:pPr>
            <w:r>
              <w:t xml:space="preserve">0.5%</w:t>
            </w:r>
          </w:p>
        </w:tc>
      </w:tr>
      <w:tr>
        <w:tc>
          <w:tcPr/>
          <w:p>
            <w:pPr>
              <w:pStyle w:val="Compact"/>
              <w:jc w:val="left"/>
            </w:pPr>
            <w:r>
              <w:t xml:space="preserve">    Use Phase (Category 11)</w:t>
            </w:r>
          </w:p>
        </w:tc>
        <w:tc>
          <w:tcPr/>
          <w:p>
            <w:pPr>
              <w:pStyle w:val="Compact"/>
              <w:jc w:val="left"/>
            </w:pPr>
            <w:r>
              <w:t xml:space="preserve">2.28125</w:t>
            </w:r>
          </w:p>
        </w:tc>
        <w:tc>
          <w:tcPr/>
          <w:p>
            <w:pPr>
              <w:pStyle w:val="Compact"/>
              <w:jc w:val="left"/>
            </w:pPr>
            <w:r>
              <w:t xml:space="preserve">51.4%</w:t>
            </w:r>
          </w:p>
        </w:tc>
      </w:tr>
      <w:tr>
        <w:tc>
          <w:tcPr/>
          <w:p>
            <w:pPr>
              <w:pStyle w:val="Compact"/>
              <w:jc w:val="left"/>
            </w:pPr>
            <w:r>
              <w:t xml:space="preserve">    End-of-Life (Category 12)</w:t>
            </w:r>
          </w:p>
        </w:tc>
        <w:tc>
          <w:tcPr/>
          <w:p>
            <w:pPr>
              <w:pStyle w:val="Compact"/>
              <w:jc w:val="left"/>
            </w:pPr>
            <w:r>
              <w:t xml:space="preserve">0.00198</w:t>
            </w:r>
          </w:p>
        </w:tc>
        <w:tc>
          <w:tcPr/>
          <w:p>
            <w:pPr>
              <w:pStyle w:val="Compact"/>
              <w:jc w:val="left"/>
            </w:pPr>
            <w:r>
              <w:t xml:space="preserve">0.0%</w:t>
            </w:r>
          </w:p>
        </w:tc>
      </w:tr>
      <w:tr>
        <w:tc>
          <w:tcPr/>
          <w:p>
            <w:pPr>
              <w:pStyle w:val="Compact"/>
              <w:jc w:val="left"/>
            </w:pPr>
            <w:r>
              <w:rPr>
                <w:bCs/>
                <w:b/>
              </w:rPr>
              <w:t xml:space="preserve">Total Product Carbon Footprint</w:t>
            </w:r>
          </w:p>
        </w:tc>
        <w:tc>
          <w:tcPr/>
          <w:p>
            <w:pPr>
              <w:pStyle w:val="Compact"/>
              <w:jc w:val="left"/>
            </w:pPr>
            <w:r>
              <w:rPr>
                <w:bCs/>
                <w:b/>
              </w:rPr>
              <w:t xml:space="preserve">4.45728 kgCO2e</w:t>
            </w:r>
          </w:p>
        </w:tc>
        <w:tc>
          <w:tcPr/>
          <w:p>
            <w:pPr>
              <w:pStyle w:val="Compact"/>
              <w:jc w:val="left"/>
            </w:pPr>
            <w:r>
              <w:rPr>
                <w:bCs/>
                <w:b/>
              </w:rPr>
              <w:t xml:space="preserve">100.0%</w:t>
            </w:r>
          </w:p>
        </w:tc>
      </w:tr>
    </w:tbl>
    <w:p>
      <w:pPr>
        <w:pStyle w:val="BodyText"/>
      </w:pPr>
      <w:r>
        <w:t xml:space="preserve">*Percentages may not sum to 100% due to rounding.</w:t>
      </w:r>
    </w:p>
    <w:bookmarkEnd w:id="52"/>
    <w:bookmarkStart w:id="53" w:name="scope-3-coverage-compliance"/>
    <w:p>
      <w:pPr>
        <w:pStyle w:val="Heading3"/>
      </w:pPr>
      <w:r>
        <w:t xml:space="preserve">6.5. Scope 3 Coverage Compliance</w:t>
      </w:r>
    </w:p>
    <w:p>
      <w:pPr>
        <w:pStyle w:val="FirstParagraph"/>
      </w:pPr>
      <w:r>
        <w:t xml:space="preserve">The total Scope 3 emissions calculated are 1.892 (Materials) + 0.0032 (Upstream Transport) + 0.0221 (Downstream Transport) + 2.28125 (Use Phase) + 0.00198 (EoL) = 4.20053 kgCO2e. Given the comprehensive data points for materials, transport, use, and end-of-life, this analysis covers the major contributing Scope 3 categories. The detailed BOM and logistics data ensure a high level of accuracy and completeness, making it highly probable to achieve the 95% coverage target required for 2026.</w:t>
      </w:r>
    </w:p>
    <w:bookmarkEnd w:id="53"/>
    <w:bookmarkStart w:id="54" w:name="X1f6df6dc073a10a7897e4b5032aa8e10dd07290"/>
    <w:p>
      <w:pPr>
        <w:pStyle w:val="Heading3"/>
      </w:pPr>
      <w:r>
        <w:t xml:space="preserve">6.6. Application of 2026 LSR Standard (Qualitative Assessment)</w:t>
      </w:r>
    </w:p>
    <w:p>
      <w:pPr>
        <w:pStyle w:val="FirstParagraph"/>
      </w:pPr>
      <w:r>
        <w:t xml:space="preserve">The LSR Standard addresses land management, land use change, and biogenic products. For fqgzrklvwm, the primary relevance lies in the cardboard packaging. While the provided emission factor for cardboard (1.20 kgCO2e/kg) implicitly includes some biogenic carbon, a full LSR assessment would require disaggregation of biogenic CO2 emissions separately, particularly from combustion or biodegradation, as outlined in the standard. The "Product take-back and refurbishment program" also aligns with the LSR\'s focus on carbon removals and circularity by extending product life and potentially increasing the carbon stored in products. Future iterations should explicitly quantify biogenic carbon flows and removals where detailed data is available.</w:t>
      </w:r>
    </w:p>
    <w:bookmarkEnd w:id="54"/>
    <w:bookmarkEnd w:id="55"/>
    <w:p>
      <w:r>
        <w:pict>
          <v:rect style="width:0;height:1.5pt" o:hralign="center" o:hrstd="t" o:hr="t"/>
        </w:pict>
      </w:r>
    </w:p>
    <w:bookmarkStart w:id="58" w:name="step-5-review-report"/>
    <w:p>
      <w:pPr>
        <w:pStyle w:val="Heading2"/>
      </w:pPr>
      <w:r>
        <w:t xml:space="preserve">7. Step 5: Review &amp; Report</w:t>
      </w:r>
    </w:p>
    <w:bookmarkStart w:id="56" w:name="emission-hotspots-and-reliability"/>
    <w:p>
      <w:pPr>
        <w:pStyle w:val="Heading3"/>
      </w:pPr>
      <w:r>
        <w:t xml:space="preserve">7.1. Emission Hotspots and Reliability</w:t>
      </w:r>
    </w:p>
    <w:p>
      <w:pPr>
        <w:pStyle w:val="FirstParagraph"/>
      </w:pPr>
      <w:r>
        <w:t xml:space="preserve">The analysis reveals the following key emission hotspots for fqgzrklvwm:</w:t>
      </w:r>
    </w:p>
    <w:p>
      <w:pPr>
        <w:numPr>
          <w:ilvl w:val="0"/>
          <w:numId w:val="1017"/>
        </w:numPr>
        <w:pStyle w:val="Compact"/>
      </w:pPr>
      <w:r>
        <w:rPr>
          <w:bCs/>
          <w:b/>
        </w:rPr>
        <w:t xml:space="preserve">Use Phase (51.4%):</w:t>
      </w:r>
      <w:r>
        <w:t xml:space="preserve"> </w:t>
      </w:r>
      <w:r>
        <w:t xml:space="preserve">The most significant contributor is the energy consumed during the product\'s 5-year lifespan. This highlights the importance of energy efficiency during product design and consumer behavior.</w:t>
      </w:r>
    </w:p>
    <w:p>
      <w:pPr>
        <w:numPr>
          <w:ilvl w:val="0"/>
          <w:numId w:val="1017"/>
        </w:numPr>
        <w:pStyle w:val="Compact"/>
      </w:pPr>
      <w:r>
        <w:rPr>
          <w:bCs/>
          <w:b/>
        </w:rPr>
        <w:t xml:space="preserve">Materials (42.6%):</w:t>
      </w:r>
      <w:r>
        <w:t xml:space="preserve"> </w:t>
      </w:r>
      <w:r>
        <w:t xml:space="preserve">The acquisition and processing of raw materials, particularly electronic components (PCB, Lithium Battery) and plastics, constitute a substantial portion of the footprint. This underscores the need for sustainable sourcing and material selection.</w:t>
      </w:r>
    </w:p>
    <w:p>
      <w:pPr>
        <w:numPr>
          <w:ilvl w:val="0"/>
          <w:numId w:val="1017"/>
        </w:numPr>
        <w:pStyle w:val="Compact"/>
      </w:pPr>
      <w:r>
        <w:rPr>
          <w:bCs/>
          <w:b/>
        </w:rPr>
        <w:t xml:space="preserve">Production (3.5%):</w:t>
      </w:r>
      <w:r>
        <w:t xml:space="preserve"> </w:t>
      </w:r>
      <w:r>
        <w:t xml:space="preserve">Purchased electricity for manufacturing is a moderate hotspot, despite spwqwgzwgx\'s 45% renewable energy usage. Further decarbonization of the energy mix or increased energy efficiency would reduce this impact.</w:t>
      </w:r>
    </w:p>
    <w:p>
      <w:pPr>
        <w:numPr>
          <w:ilvl w:val="0"/>
          <w:numId w:val="1017"/>
        </w:numPr>
        <w:pStyle w:val="Compact"/>
      </w:pPr>
      <w:r>
        <w:rPr>
          <w:bCs/>
          <w:b/>
        </w:rPr>
        <w:t xml:space="preserve">Transportation (0.6% total):</w:t>
      </w:r>
      <w:r>
        <w:t xml:space="preserve"> </w:t>
      </w:r>
      <w:r>
        <w:t xml:space="preserve">While essential, both upstream and downstream logistics contribute a smaller, yet notable, portion of emissions. Optimization of transport modes, routes, and load factors can offer reductions.</w:t>
      </w:r>
    </w:p>
    <w:p>
      <w:pPr>
        <w:numPr>
          <w:ilvl w:val="0"/>
          <w:numId w:val="1017"/>
        </w:numPr>
        <w:pStyle w:val="Compact"/>
      </w:pPr>
      <w:r>
        <w:rPr>
          <w:bCs/>
          <w:b/>
        </w:rPr>
        <w:t xml:space="preserve">End-of-Life (0.0%):</w:t>
      </w:r>
      <w:r>
        <w:t xml:space="preserve"> </w:t>
      </w:r>
      <w:r>
        <w:t xml:space="preserve">The direct emissions from landfilling the non-recycled portion are relatively low for this product. However, the missed opportunity for circularity and avoided virgin material production from the remaining 30% that is not recycled represents a potential impact that is not fully captured by direct emissions alone.</w:t>
      </w:r>
    </w:p>
    <w:p>
      <w:pPr>
        <w:pStyle w:val="FirstParagraph"/>
      </w:pPr>
      <w:r>
        <w:rPr>
          <w:bCs/>
          <w:b/>
        </w:rPr>
        <w:t xml:space="preserve">Reliability of Data:</w:t>
      </w:r>
      <w:r>
        <w:t xml:space="preserve"> </w:t>
      </w:r>
      <w:r>
        <w:t xml:space="preserve">The use of specific BOM data and custom energy parameters enhances the accuracy of this report. However, some emission factors for components and transport are based on industry averages (secondary data from sources like DEFRA, Ecoinvent, Climatiq, EPA). Future assessments should aim to increase the use of primary supplier-specific data to further improve accuracy and traceability, aligning with the GHG Protocol\'s push for data disaggregation.</w:t>
      </w:r>
    </w:p>
    <w:bookmarkEnd w:id="56"/>
    <w:bookmarkStart w:id="57" w:name="recommendations-for-spwqwgzwgx"/>
    <w:p>
      <w:pPr>
        <w:pStyle w:val="Heading3"/>
      </w:pPr>
      <w:r>
        <w:t xml:space="preserve">7.2. Recommendations for spwqwgzwgx</w:t>
      </w:r>
    </w:p>
    <w:p>
      <w:pPr>
        <w:numPr>
          <w:ilvl w:val="0"/>
          <w:numId w:val="1018"/>
        </w:numPr>
        <w:pStyle w:val="Compact"/>
      </w:pPr>
      <w:r>
        <w:rPr>
          <w:bCs/>
          <w:b/>
        </w:rPr>
        <w:t xml:space="preserve">Enhance Use Phase Efficiency:</w:t>
      </w:r>
      <w:r>
        <w:t xml:space="preserve"> </w:t>
      </w:r>
      <w:r>
        <w:t xml:space="preserve">Focus on designing fqgzrklvwm for lower energy consumption during its operational lifespan. Explore smart power management features or offer renewable energy charging solutions for consumers.</w:t>
      </w:r>
    </w:p>
    <w:p>
      <w:pPr>
        <w:numPr>
          <w:ilvl w:val="0"/>
          <w:numId w:val="1018"/>
        </w:numPr>
        <w:pStyle w:val="Compact"/>
      </w:pPr>
      <w:r>
        <w:rPr>
          <w:bCs/>
          <w:b/>
        </w:rPr>
        <w:t xml:space="preserve">Sustainable Sourcing:</w:t>
      </w:r>
      <w:r>
        <w:t xml:space="preserve"> </w:t>
      </w:r>
      <w:r>
        <w:t xml:space="preserve">Collaborate with suppliers of high-impact materials (e.g., electronic components, batteries) to source lower-carbon alternatives or components manufactured with renewable energy. Investigate opportunities for recycled content in plastic casings.</w:t>
      </w:r>
    </w:p>
    <w:p>
      <w:pPr>
        <w:numPr>
          <w:ilvl w:val="0"/>
          <w:numId w:val="1018"/>
        </w:numPr>
        <w:pStyle w:val="Compact"/>
      </w:pPr>
      <w:r>
        <w:rPr>
          <w:bCs/>
          <w:b/>
        </w:rPr>
        <w:t xml:space="preserve">Renewable Energy Expansion:</w:t>
      </w:r>
      <w:r>
        <w:t xml:space="preserve"> </w:t>
      </w:r>
      <w:r>
        <w:t xml:space="preserve">Continue increasing the percentage of renewable energy used in manufacturing operations in China. Explore options for virtual power purchase agreements or on-site renewable energy generation.</w:t>
      </w:r>
    </w:p>
    <w:p>
      <w:pPr>
        <w:numPr>
          <w:ilvl w:val="0"/>
          <w:numId w:val="1018"/>
        </w:numPr>
        <w:pStyle w:val="Compact"/>
      </w:pPr>
      <w:r>
        <w:rPr>
          <w:bCs/>
          <w:b/>
        </w:rPr>
        <w:t xml:space="preserve">Logistics Optimization:</w:t>
      </w:r>
      <w:r>
        <w:t xml:space="preserve"> </w:t>
      </w:r>
      <w:r>
        <w:t xml:space="preserve">Further optimize transport routes, prioritize lower-emission transport modes (e.g., rail over road where feasible in Europe), and ensure high load factors for shipments.</w:t>
      </w:r>
    </w:p>
    <w:p>
      <w:pPr>
        <w:numPr>
          <w:ilvl w:val="0"/>
          <w:numId w:val="1018"/>
        </w:numPr>
        <w:pStyle w:val="Compact"/>
      </w:pPr>
      <w:r>
        <w:rPr>
          <w:bCs/>
          <w:b/>
        </w:rPr>
        <w:t xml:space="preserve">Strengthen Circularity:</w:t>
      </w:r>
      <w:r>
        <w:t xml:space="preserve"> </w:t>
      </w:r>
      <w:r>
        <w:t xml:space="preserve">Leverage the "Product take-back and refurbishment program" to maximize reuse and high-quality recycling. Clearly track and report the impacts of these programs, potentially generating avoided emissions credits.</w:t>
      </w:r>
    </w:p>
    <w:p>
      <w:pPr>
        <w:numPr>
          <w:ilvl w:val="0"/>
          <w:numId w:val="1018"/>
        </w:numPr>
        <w:pStyle w:val="Compact"/>
      </w:pPr>
      <w:r>
        <w:rPr>
          <w:bCs/>
          <w:b/>
        </w:rPr>
        <w:t xml:space="preserve">Data Improvement:</w:t>
      </w:r>
      <w:r>
        <w:t xml:space="preserve"> </w:t>
      </w:r>
      <w:r>
        <w:t xml:space="preserve">Systematically engage with suppliers to obtain primary, activity-based emissions data for Category 1 (Purchased Goods and Services) and other relevant Scope 3 categories to meet and exceed the 95% coverage target with higher confidence.</w:t>
      </w:r>
    </w:p>
    <w:p>
      <w:pPr>
        <w:numPr>
          <w:ilvl w:val="0"/>
          <w:numId w:val="1018"/>
        </w:numPr>
        <w:pStyle w:val="Compact"/>
      </w:pPr>
      <w:r>
        <w:rPr>
          <w:bCs/>
          <w:b/>
        </w:rPr>
        <w:t xml:space="preserve">LSR Integration:</w:t>
      </w:r>
      <w:r>
        <w:t xml:space="preserve"> </w:t>
      </w:r>
      <w:r>
        <w:t xml:space="preserve">As the LSR Standard guidance develops in Q2 2026, establish processes to explicitly account for biogenic carbon in packaging and any land-related activities in the supply chain, as well as potential carbon removal metrics.</w:t>
      </w:r>
    </w:p>
    <w:bookmarkEnd w:id="57"/>
    <w:bookmarkEnd w:id="58"/>
    <w:p>
      <w:r>
        <w:pict>
          <v:rect style="width:0;height:1.5pt" o:hralign="center" o:hrstd="t" o:hr="t"/>
        </w:pict>
      </w:r>
    </w:p>
    <w:bookmarkStart w:id="59" w:name="conclusion"/>
    <w:p>
      <w:pPr>
        <w:pStyle w:val="Heading2"/>
      </w:pPr>
      <w:r>
        <w:t xml:space="preserve">8. Conclusion</w:t>
      </w:r>
    </w:p>
    <w:p>
      <w:pPr>
        <w:pStyle w:val="FirstParagraph"/>
      </w:pPr>
      <w:r>
        <w:t xml:space="preserve">This high-detail Product Carbon Footprint analysis for fqgzrklvwm provides spwqwgzwgx with a robust baseline for understanding its environmental impact. By adhering to the stringent requirements of the GHG Protocol, including the 2026 LSR updates and the 95% Scope 3 coverage, spwqwgzwgx demonstrates a strong commitment to transparent and comprehensive sustainability reporting. The identified hotspots offer clear pathways for targeted emission reduction strategies, enabling the company to drive continuous improvement towards a more sustainable future.</w:t>
      </w:r>
    </w:p>
    <w:bookmarkEnd w:id="59"/>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fqgzrklvwm</dc:title>
  <dc:creator/>
  <dc:description>High-detail Product Carbon Footprint (PCF) analysis report for product fqgzrklvwm by spwqwgzwgx, adhering to GHG Protocol standards and 2026 updates, conducted by Senior Sustainability Consultant hmndgwkskr.</dc:description>
  <dc:language>en</dc:language>
  <cp:keywords/>
  <dcterms:created xsi:type="dcterms:W3CDTF">2026-05-30T14:54:32Z</dcterms:created>
  <dcterms:modified xsi:type="dcterms:W3CDTF">2026-05-30T14:54:32Z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