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fiznltruxq</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fiznltruxq"/>
    <w:p>
      <w:pPr>
        <w:pStyle w:val="Heading2"/>
      </w:pPr>
      <w:r>
        <w:t xml:space="preserve">Product: fiznltruxq</w:t>
      </w:r>
    </w:p>
    <w:p>
      <w:pPr>
        <w:pStyle w:val="FirstParagraph"/>
      </w:pPr>
      <w:r>
        <w:rPr>
          <w:bCs/>
          <w:b/>
        </w:rPr>
        <w:t xml:space="preserve">Company Name:</w:t>
      </w:r>
      <w:r>
        <w:t xml:space="preserve"> </w:t>
      </w:r>
      <w:r>
        <w:t xml:space="preserve">jlesmjhlhk</w:t>
      </w:r>
    </w:p>
    <w:p>
      <w:pPr>
        <w:pStyle w:val="BodyText"/>
      </w:pPr>
      <w:r>
        <w:rPr>
          <w:bCs/>
          <w:b/>
        </w:rPr>
        <w:t xml:space="preserve">Senior Sustainability Consultant:</w:t>
      </w:r>
      <w:r>
        <w:t xml:space="preserve"> </w:t>
      </w:r>
      <w:r>
        <w:t xml:space="preserve">ufmpdjtgku</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the actual environmental impacts may vary depending on real-world conditions and data availability.</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"fiznltruxq", manufactured by jlesmjhlhk. The analysis was conducted by ufmpdjtgku, a Senior Sustainability Consultant specializing in GHG Protocol. Adhering strictly to the GHG Protocol standards, including the 2026 Land Sector and Removals (LSR) update and the 95% Scope 3 coverage requirement, this study quantifies the greenhouse gas emissions across the product\'s entire lifecycle. Key findings highlight material acquisition and manufacturing as significant contributors, with opportunities identified in optimizing logistics, increasing renewable energy adoption, and enhancing circular economy initiatives.</w:t>
      </w:r>
    </w:p>
    <w:p>
      <w:r>
        <w:pict>
          <v:rect style="width:0;height:1.5pt" o:hralign="center" o:hrstd="t" o:hr="t"/>
        </w:pict>
      </w:r>
    </w:p>
    <w:bookmarkEnd w:id="23"/>
    <w:bookmarkStart w:id="26" w:name="introduction"/>
    <w:p>
      <w:pPr>
        <w:pStyle w:val="Heading2"/>
      </w:pPr>
      <w:r>
        <w:t xml:space="preserve">1. Introduction</w:t>
      </w:r>
    </w:p>
    <w:p>
      <w:pPr>
        <w:pStyle w:val="FirstParagraph"/>
      </w:pPr>
      <w:r>
        <w:t xml:space="preserve">The growing imperative for businesses to understand and mitigate their environmental impact necessitates robust carbon accounting. This Product Carbon Footprint (PCF) analysis provides jlesmjhlhk with a comprehensive assessment of the GHG emissions associated with its product, fiznltruxq, from raw material extraction to end-of-life. The insights derived will enable informed decision-making towards more sustainable product design, supply chain management, and operational practices.</w:t>
      </w:r>
    </w:p>
    <w:bookmarkStart w:id="24" w:name="product-description"/>
    <w:p>
      <w:pPr>
        <w:pStyle w:val="Heading3"/>
      </w:pPr>
      <w:r>
        <w:t xml:space="preserve">1.1. Product Description</w:t>
      </w:r>
    </w:p>
    <w:p>
      <w:pPr>
        <w:pStyle w:val="FirstParagraph"/>
      </w:pPr>
      <w:r>
        <w:t xml:space="preserve">The product under analysis is "fiznltruxq". For the purpose of this PCF, the functional unit is defined as 1.0 unit of fiznltruxq.</w:t>
      </w:r>
    </w:p>
    <w:bookmarkEnd w:id="24"/>
    <w:bookmarkStart w:id="25" w:name="company-and-consultant"/>
    <w:p>
      <w:pPr>
        <w:pStyle w:val="Heading3"/>
      </w:pPr>
      <w:r>
        <w:t xml:space="preserve">1.2. Company and Consultant</w:t>
      </w:r>
    </w:p>
    <w:p>
      <w:pPr>
        <w:pStyle w:val="FirstParagraph"/>
      </w:pPr>
      <w:r>
        <w:t xml:space="preserve">This report is prepared for jlesmjhlhk by Senior Sustainability Consultant ufmpdjtgku, adhering to the highest standards of environmental reporting.</w:t>
      </w:r>
    </w:p>
    <w:p>
      <w:r>
        <w:pict>
          <v:rect style="width:0;height:1.5pt" o:hralign="center" o:hrstd="t" o:hr="t"/>
        </w:pict>
      </w:r>
    </w:p>
    <w:bookmarkEnd w:id="25"/>
    <w:bookmarkEnd w:id="26"/>
    <w:bookmarkStart w:id="41" w:name="methodology"/>
    <w:p>
      <w:pPr>
        <w:pStyle w:val="Heading2"/>
      </w:pPr>
      <w:r>
        <w:t xml:space="preserve">2. Methodology</w:t>
      </w:r>
    </w:p>
    <w:p>
      <w:pPr>
        <w:pStyle w:val="FirstParagraph"/>
      </w:pPr>
      <w:r>
        <w:t xml:space="preserve">The PCF analysis was conducted in accordance with the Greenhouse Gas Protocol\'s Product Life Cycle Accounting and Reporting Standard. This methodology ensures a standardized and comprehensive approach to quantifying emissions.</w:t>
      </w:r>
    </w:p>
    <w:bookmarkStart w:id="27"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fiznltruxq.</w:t>
      </w:r>
    </w:p>
    <w:p>
      <w:pPr>
        <w:numPr>
          <w:ilvl w:val="0"/>
          <w:numId w:val="1001"/>
        </w:numPr>
        <w:pStyle w:val="Compact"/>
      </w:pPr>
      <w:r>
        <w:rPr>
          <w:bCs/>
          <w:b/>
        </w:rPr>
        <w:t xml:space="preserve">System Boundary:</w:t>
      </w:r>
      <w:r>
        <w:t xml:space="preserve"> </w:t>
      </w:r>
      <w:r>
        <w:t xml:space="preserve">Cradle-to-gate, encompassing raw material acquisition, pre-processing, manufacturing, and factory-gate transportation. While the primary system boundary is \'factory_gate\', relevant downstream stages (Use Phase, End-of-Life) are also included in the analysis to provide a more holistic view of the product\'s impacts over its entire lifespan.</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primary manufacturing in China, with materials sourced globally and distributed into the European market.</w:t>
      </w:r>
    </w:p>
    <w:p>
      <w:pPr>
        <w:numPr>
          <w:ilvl w:val="0"/>
          <w:numId w:val="1001"/>
        </w:numPr>
        <w:pStyle w:val="Compact"/>
      </w:pPr>
      <w:r>
        <w:rPr>
          <w:bCs/>
          <w:b/>
        </w:rPr>
        <w:t xml:space="preserve">Accounting Standard:</w:t>
      </w:r>
      <w:r>
        <w:t xml:space="preserve"> </w:t>
      </w:r>
      <w:r>
        <w:t xml:space="preserve">GHG Protocol. The analysis strictly adheres to the GHG Protocol\'s methodologies for categorizing and quantifying greenhouse gas emissions.</w:t>
      </w:r>
    </w:p>
    <w:p>
      <w:pPr>
        <w:numPr>
          <w:ilvl w:val="0"/>
          <w:numId w:val="1001"/>
        </w:numPr>
        <w:pStyle w:val="Compact"/>
      </w:pPr>
      <w:r>
        <w:rPr>
          <w:bCs/>
          <w:b/>
        </w:rPr>
        <w:t xml:space="preserve">Allocation:</w:t>
      </w:r>
      <w:r>
        <w:t xml:space="preserve"> </w:t>
      </w:r>
      <w:r>
        <w:t xml:space="preserve">Mass-based allocation is applied where co-production occurs, ensuring equitable distribution of environmental burdens.</w:t>
      </w:r>
    </w:p>
    <w:bookmarkEnd w:id="27"/>
    <w:bookmarkStart w:id="28" w:name="map-lifecycle-lci-inventory-stages"/>
    <w:p>
      <w:pPr>
        <w:pStyle w:val="Heading3"/>
      </w:pPr>
      <w:r>
        <w:t xml:space="preserve">2.2. Map Lifecycle (LCI Inventory Stages)</w:t>
      </w:r>
    </w:p>
    <w:p>
      <w:pPr>
        <w:pStyle w:val="FirstParagraph"/>
      </w:pPr>
      <w:r>
        <w:t xml:space="preserve">The lifecycle of fiznltruxq is mapped across five key stages:</w:t>
      </w:r>
    </w:p>
    <w:p>
      <w:pPr>
        <w:numPr>
          <w:ilvl w:val="0"/>
          <w:numId w:val="1002"/>
        </w:numPr>
        <w:pStyle w:val="Compact"/>
      </w:pPr>
      <w:r>
        <w:rPr>
          <w:bCs/>
          <w:b/>
        </w:rPr>
        <w:t xml:space="preserve">Raw Material Acquisition &amp; Pre-processing (Upstream - Scope 3, Category 1):</w:t>
      </w:r>
      <w:r>
        <w:t xml:space="preserve"> </w:t>
      </w:r>
      <w:r>
        <w:t xml:space="preserve">This stage covers the extraction, processing, and manufacturing of all components listed in the Detailed Bill of Materials (BOM).</w:t>
      </w:r>
    </w:p>
    <w:p>
      <w:pPr>
        <w:numPr>
          <w:ilvl w:val="0"/>
          <w:numId w:val="1002"/>
        </w:numPr>
        <w:pStyle w:val="Compact"/>
      </w:pPr>
      <w:r>
        <w:rPr>
          <w:bCs/>
          <w:b/>
        </w:rPr>
        <w:t xml:space="preserve">Manufacturing (Core - Scope 1 &amp; 2):</w:t>
      </w:r>
      <w:r>
        <w:t xml:space="preserve"> </w:t>
      </w:r>
      <w:r>
        <w:t xml:space="preserve">Encompasses the energy consumption (electricity, heat) and any direct emissions from the assembly and production processes at jlesmjhlhk\'s facility in China.</w:t>
      </w:r>
    </w:p>
    <w:p>
      <w:pPr>
        <w:numPr>
          <w:ilvl w:val="0"/>
          <w:numId w:val="1002"/>
        </w:numPr>
        <w:pStyle w:val="Compact"/>
      </w:pPr>
      <w:r>
        <w:rPr>
          <w:bCs/>
          <w:b/>
        </w:rPr>
        <w:t xml:space="preserve">Transportation (Upstream &amp; Downstream - Scope 3, Categories 4 &amp; 9):</w:t>
      </w:r>
      <w:r>
        <w:t xml:space="preserve"> </w:t>
      </w:r>
      <w:r>
        <w:t xml:space="preserve">Includes inbound logistics of raw materials to the manufacturing facility (upstream), and distribution of the finished product to the European market, including last-mile delivery (downstream).</w:t>
      </w:r>
    </w:p>
    <w:p>
      <w:pPr>
        <w:numPr>
          <w:ilvl w:val="0"/>
          <w:numId w:val="1002"/>
        </w:numPr>
        <w:pStyle w:val="Compact"/>
      </w:pPr>
      <w:r>
        <w:rPr>
          <w:bCs/>
          <w:b/>
        </w:rPr>
        <w:t xml:space="preserve">Use Phase (Downstream - Scope 3, Category 11):</w:t>
      </w:r>
      <w:r>
        <w:t xml:space="preserve"> </w:t>
      </w:r>
      <w:r>
        <w:t xml:space="preserve">Accounts for the energy consumed during the expected lifespan of the product by the end-user.</w:t>
      </w:r>
    </w:p>
    <w:p>
      <w:pPr>
        <w:numPr>
          <w:ilvl w:val="0"/>
          <w:numId w:val="1002"/>
        </w:numPr>
        <w:pStyle w:val="Compact"/>
      </w:pPr>
      <w:r>
        <w:rPr>
          <w:bCs/>
          <w:b/>
        </w:rPr>
        <w:t xml:space="preserve">End-of-Life (Downstream - Scope 3, Category 12):</w:t>
      </w:r>
      <w:r>
        <w:t xml:space="preserve"> </w:t>
      </w:r>
      <w:r>
        <w:t xml:space="preserve">Addresses the emissions and potential credits associated with the disposal, recycling, or recovery of the product and its components.</w:t>
      </w:r>
    </w:p>
    <w:bookmarkEnd w:id="28"/>
    <w:bookmarkStart w:id="34" w:name="collect-data"/>
    <w:p>
      <w:pPr>
        <w:pStyle w:val="Heading3"/>
      </w:pPr>
      <w:r>
        <w:t xml:space="preserve">2.3. Collect Data</w:t>
      </w:r>
    </w:p>
    <w:p>
      <w:pPr>
        <w:pStyle w:val="FirstParagraph"/>
      </w:pPr>
      <w:r>
        <w:t xml:space="preserve">Data was collected from primary sources (provided parameters) and supplemented with secondary data from industry-standard databases where specific primary data was not available.</w:t>
      </w:r>
    </w:p>
    <w:bookmarkStart w:id="29" w:name="X49629cb2b7d57d9dd26eb66ac8c39d69250d4cf"/>
    <w:p>
      <w:pPr>
        <w:pStyle w:val="Heading4"/>
      </w:pPr>
      <w:r>
        <w:t xml:space="preserve">Detailed Bill of Materials (BOM) - unnofngm</w:t>
      </w:r>
    </w:p>
    <w:p>
      <w:pPr>
        <w:pStyle w:val="FirstParagraph"/>
      </w:pPr>
      <w:r>
        <w:t xml:space="preserve">The following Bill of Materials was provided and used for material impact calculation. Note: The \'Total Carbon\' values in the table below are calculated based on the provided Quantity and Emission Factor, as specified in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Calculated 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bl>
    <w:bookmarkEnd w:id="29"/>
    <w:bookmarkStart w:id="30" w:name="logistics-data"/>
    <w:p>
      <w:pPr>
        <w:pStyle w:val="Heading4"/>
      </w:pPr>
      <w:r>
        <w:t xml:space="preserve">Logistics Data</w:t>
      </w:r>
    </w:p>
    <w:p>
      <w:pPr>
        <w:numPr>
          <w:ilvl w:val="0"/>
          <w:numId w:val="1003"/>
        </w:numPr>
        <w:pStyle w:val="Compact"/>
      </w:pPr>
      <w:r>
        <w:rPr>
          <w:bCs/>
          <w:b/>
        </w:rPr>
        <w:t xml:space="preserve">Transport Mode:</w:t>
      </w:r>
      <w:r>
        <w:t xml:space="preserve"> </w:t>
      </w:r>
      <w:r>
        <w:t xml:space="preserve">Select Mode (Assumed: Sea Freight for China to Europe, Road Freight for intra-Europe and last-mile).</w:t>
      </w:r>
    </w:p>
    <w:p>
      <w:pPr>
        <w:numPr>
          <w:ilvl w:val="0"/>
          <w:numId w:val="1003"/>
        </w:numPr>
        <w:pStyle w:val="Compact"/>
      </w:pPr>
      <w:r>
        <w:rPr>
          <w:bCs/>
          <w:b/>
        </w:rPr>
        <w:t xml:space="preserve">Transport Distance (China to Europe - Sea Freight):</w:t>
      </w:r>
      <w:r>
        <w:t xml:space="preserve"> </w:t>
      </w:r>
      <w:r>
        <w:t xml:space="preserve">dtsnxvtewk (Assumed: 20,000 km)</w:t>
      </w:r>
    </w:p>
    <w:p>
      <w:pPr>
        <w:numPr>
          <w:ilvl w:val="0"/>
          <w:numId w:val="1003"/>
        </w:numPr>
        <w:pStyle w:val="Compact"/>
      </w:pPr>
      <w:r>
        <w:rPr>
          <w:bCs/>
          <w:b/>
        </w:rPr>
        <w:t xml:space="preserve">Transport Distance (Within Europe - Road Freight):</w:t>
      </w:r>
      <w:r>
        <w:t xml:space="preserve"> </w:t>
      </w:r>
      <w:r>
        <w:t xml:space="preserve">500 km</w:t>
      </w:r>
    </w:p>
    <w:p>
      <w:pPr>
        <w:numPr>
          <w:ilvl w:val="0"/>
          <w:numId w:val="1003"/>
        </w:numPr>
        <w:pStyle w:val="Compact"/>
      </w:pPr>
      <w:r>
        <w:rPr>
          <w:bCs/>
          <w:b/>
        </w:rPr>
        <w:t xml:space="preserve">Last-Mile Delivery Channel:</w:t>
      </w:r>
      <w:r>
        <w:t xml:space="preserve"> </w:t>
      </w:r>
      <w:r>
        <w:t xml:space="preserve">Delivery Type (Assumed: Parcel Delivery - Road)</w:t>
      </w:r>
    </w:p>
    <w:bookmarkEnd w:id="30"/>
    <w:bookmarkStart w:id="31" w:name="Xcac95ae22585cca75b6e3a279d38f509907408b"/>
    <w:p>
      <w:pPr>
        <w:pStyle w:val="Heading4"/>
      </w:pPr>
      <w:r>
        <w:t xml:space="preserve">Energy Customization Data (Manufacturing Phase in China)</w:t>
      </w:r>
    </w:p>
    <w:p>
      <w:pPr>
        <w:numPr>
          <w:ilvl w:val="0"/>
          <w:numId w:val="1004"/>
        </w:numPr>
        <w:pStyle w:val="Compact"/>
      </w:pPr>
      <w:r>
        <w:rPr>
          <w:bCs/>
          <w:b/>
        </w:rPr>
        <w:t xml:space="preserve">Renewable Energy Usage:</w:t>
      </w:r>
      <w:r>
        <w:t xml:space="preserve"> </w:t>
      </w:r>
      <w:r>
        <w:t xml:space="preserve">pyrwevjgnh (Assumed: 50%)</w:t>
      </w:r>
    </w:p>
    <w:p>
      <w:pPr>
        <w:numPr>
          <w:ilvl w:val="0"/>
          <w:numId w:val="1004"/>
        </w:numPr>
        <w:pStyle w:val="Compact"/>
      </w:pPr>
      <w:r>
        <w:rPr>
          <w:bCs/>
          <w:b/>
        </w:rPr>
        <w:t xml:space="preserve">Energy Intensity (kWh/unit):</w:t>
      </w:r>
      <w:r>
        <w:t xml:space="preserve"> </w:t>
      </w:r>
      <w:r>
        <w:t xml:space="preserve">rmhnldyxds (Assumed: 10 kWh/unit)</w:t>
      </w:r>
    </w:p>
    <w:bookmarkEnd w:id="31"/>
    <w:bookmarkStart w:id="32"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smtdqmvyeo (Assumed: 5 years)</w:t>
      </w:r>
    </w:p>
    <w:p>
      <w:pPr>
        <w:numPr>
          <w:ilvl w:val="0"/>
          <w:numId w:val="1005"/>
        </w:numPr>
        <w:pStyle w:val="Compact"/>
      </w:pPr>
      <w:r>
        <w:rPr>
          <w:bCs/>
          <w:b/>
        </w:rPr>
        <w:t xml:space="preserve">Energy Consumption in Use:</w:t>
      </w:r>
      <w:r>
        <w:t xml:space="preserve"> </w:t>
      </w:r>
      <w:r>
        <w:t xml:space="preserve">pynswllxfm (Assumed: 20 kWh/year)</w:t>
      </w:r>
    </w:p>
    <w:bookmarkEnd w:id="32"/>
    <w:bookmarkStart w:id="33"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t xml:space="preserve">qsgnjsooyw (Assumed: 80%)</w:t>
      </w:r>
    </w:p>
    <w:p>
      <w:pPr>
        <w:numPr>
          <w:ilvl w:val="0"/>
          <w:numId w:val="1006"/>
        </w:numPr>
        <w:pStyle w:val="Compact"/>
      </w:pPr>
      <w:r>
        <w:rPr>
          <w:bCs/>
          <w:b/>
        </w:rPr>
        <w:t xml:space="preserve">Circular/Take-back Programs:</w:t>
      </w:r>
      <w:r>
        <w:t xml:space="preserve"> </w:t>
      </w:r>
      <w:r>
        <w:t xml:space="preserve">fxsqhhkdsg (Assumed: Active, product-specific take-back program)</w:t>
      </w:r>
    </w:p>
    <w:bookmarkEnd w:id="33"/>
    <w:bookmarkEnd w:id="34"/>
    <w:bookmarkStart w:id="39" w:name="calculate-emissions"/>
    <w:p>
      <w:pPr>
        <w:pStyle w:val="Heading3"/>
      </w:pPr>
      <w:r>
        <w:t xml:space="preserve">2.4. Calculate Emissions</w:t>
      </w:r>
    </w:p>
    <w:p>
      <w:pPr>
        <w:pStyle w:val="FirstParagraph"/>
      </w:pPr>
      <w:r>
        <w:t xml:space="preserve">Emissions are calculated using the formula: Activity Data × Emission Factor = CO2e. Industry-standard emission factors from reputable sources (e.g., Ecoinvent, DEFRA) were applied where primary data was unavailable.</w:t>
      </w:r>
    </w:p>
    <w:bookmarkStart w:id="35" w:name="Xc9ffec887c9ef57b92ea054a329f667343f467c"/>
    <w:p>
      <w:pPr>
        <w:pStyle w:val="Heading4"/>
      </w:pPr>
      <w:r>
        <w:t xml:space="preserve">Emission Factors Used (Examples for calculation, specific values in BOM table)</w:t>
      </w:r>
    </w:p>
    <w:p>
      <w:pPr>
        <w:numPr>
          <w:ilvl w:val="0"/>
          <w:numId w:val="1007"/>
        </w:numPr>
        <w:pStyle w:val="Compact"/>
      </w:pPr>
      <w:r>
        <w:rPr>
          <w:bCs/>
          <w:b/>
        </w:rPr>
        <w:t xml:space="preserve">Electricity (China Grid Average, non-renewable portion):</w:t>
      </w:r>
      <w:r>
        <w:t xml:space="preserve"> </w:t>
      </w:r>
      <w:r>
        <w:t xml:space="preserve">0.6 kg CO2e/kWh</w:t>
      </w:r>
    </w:p>
    <w:p>
      <w:pPr>
        <w:numPr>
          <w:ilvl w:val="0"/>
          <w:numId w:val="1007"/>
        </w:numPr>
        <w:pStyle w:val="Compact"/>
      </w:pPr>
      <w:r>
        <w:rPr>
          <w:bCs/>
          <w:b/>
        </w:rPr>
        <w:t xml:space="preserve">Electricity (Europe Grid Average, for use phase):</w:t>
      </w:r>
      <w:r>
        <w:t xml:space="preserve"> </w:t>
      </w:r>
      <w:r>
        <w:t xml:space="preserve">0.2 kg CO2e/kWh</w:t>
      </w:r>
    </w:p>
    <w:p>
      <w:pPr>
        <w:numPr>
          <w:ilvl w:val="0"/>
          <w:numId w:val="1007"/>
        </w:numPr>
        <w:pStyle w:val="Compact"/>
      </w:pPr>
      <w:r>
        <w:rPr>
          <w:bCs/>
          <w:b/>
        </w:rPr>
        <w:t xml:space="preserve">Road Freight (Heavy Goods Vehicle, long-haul):</w:t>
      </w:r>
      <w:r>
        <w:t xml:space="preserve"> </w:t>
      </w:r>
      <w:r>
        <w:t xml:space="preserve">0.1 kg CO2e/tkm</w:t>
      </w:r>
    </w:p>
    <w:p>
      <w:pPr>
        <w:numPr>
          <w:ilvl w:val="0"/>
          <w:numId w:val="1007"/>
        </w:numPr>
        <w:pStyle w:val="Compact"/>
      </w:pPr>
      <w:r>
        <w:rPr>
          <w:bCs/>
          <w:b/>
        </w:rPr>
        <w:t xml:space="preserve">Sea Freight (Container Ship):</w:t>
      </w:r>
      <w:r>
        <w:t xml:space="preserve"> </w:t>
      </w:r>
      <w:r>
        <w:t xml:space="preserve">0.016 kg CO2e/tkm</w:t>
      </w:r>
    </w:p>
    <w:p>
      <w:pPr>
        <w:numPr>
          <w:ilvl w:val="0"/>
          <w:numId w:val="1007"/>
        </w:numPr>
        <w:pStyle w:val="Compact"/>
      </w:pPr>
      <w:r>
        <w:rPr>
          <w:bCs/>
          <w:b/>
        </w:rPr>
        <w:t xml:space="preserve">Parcel Delivery (Last-Mile):</w:t>
      </w:r>
      <w:r>
        <w:t xml:space="preserve"> </w:t>
      </w:r>
      <w:r>
        <w:t xml:space="preserve">0.2 kg CO2e/tkm (estimated, often higher due to lower load factors)</w:t>
      </w:r>
    </w:p>
    <w:p>
      <w:pPr>
        <w:numPr>
          <w:ilvl w:val="0"/>
          <w:numId w:val="1007"/>
        </w:numPr>
        <w:pStyle w:val="Compact"/>
      </w:pPr>
      <w:r>
        <w:rPr>
          <w:bCs/>
          <w:b/>
        </w:rPr>
        <w:t xml:space="preserve">End-of-Life (Landfill/Incineration for non-recycled waste):</w:t>
      </w:r>
      <w:r>
        <w:t xml:space="preserve"> </w:t>
      </w:r>
      <w:r>
        <w:t xml:space="preserve">1.5 kg CO2e/kg (mixed waste)</w:t>
      </w:r>
    </w:p>
    <w:p>
      <w:pPr>
        <w:numPr>
          <w:ilvl w:val="0"/>
          <w:numId w:val="1007"/>
        </w:numPr>
        <w:pStyle w:val="Compact"/>
      </w:pPr>
      <w:r>
        <w:rPr>
          <w:bCs/>
          <w:b/>
        </w:rPr>
        <w:t xml:space="preserve">Recycling Credit:</w:t>
      </w:r>
      <w:r>
        <w:t xml:space="preserve"> </w:t>
      </w:r>
      <w:r>
        <w:t xml:space="preserve">-1.0 kg CO2e/kg (average credit for materials recycled, accounts for avoided virgin material production)</w:t>
      </w:r>
    </w:p>
    <w:bookmarkEnd w:id="35"/>
    <w:bookmarkStart w:id="36" w:name="ghg-protocol-scopes-categorization"/>
    <w:p>
      <w:pPr>
        <w:pStyle w:val="Heading4"/>
      </w:pPr>
      <w:r>
        <w:t xml:space="preserve">GHG Protocol Scopes Categorization</w:t>
      </w:r>
    </w:p>
    <w:p>
      <w:pPr>
        <w:numPr>
          <w:ilvl w:val="0"/>
          <w:numId w:val="1008"/>
        </w:numPr>
        <w:pStyle w:val="Compact"/>
      </w:pPr>
      <w:r>
        <w:rPr>
          <w:bCs/>
          <w:b/>
        </w:rPr>
        <w:t xml:space="preserve">Scope 1 (Direct Emissions):</w:t>
      </w:r>
      <w:r>
        <w:t xml:space="preserve"> </w:t>
      </w:r>
      <w:r>
        <w:t xml:space="preserve">Emissions from sources owned or controlled by jlesmjhlhk (e.g., direct fuel combustion at the factory). For this \'factory_gate\' boundary, direct manufacturing emissions would fall here, though primarily electricity consumption is modelled.</w:t>
      </w:r>
    </w:p>
    <w:p>
      <w:pPr>
        <w:numPr>
          <w:ilvl w:val="0"/>
          <w:numId w:val="1008"/>
        </w:numPr>
        <w:pStyle w:val="Compact"/>
      </w:pPr>
      <w:r>
        <w:rPr>
          <w:bCs/>
          <w:b/>
        </w:rPr>
        <w:t xml:space="preserve">Scope 2 (Indirect Emissions from Purchased Energy):</w:t>
      </w:r>
      <w:r>
        <w:t xml:space="preserve"> </w:t>
      </w:r>
      <w:r>
        <w:t xml:space="preserve">Emissions from the generation of purchased electricity, heat, or steam consumed by jlesmjhlhk\'s manufacturing operations.</w:t>
      </w:r>
    </w:p>
    <w:p>
      <w:pPr>
        <w:numPr>
          <w:ilvl w:val="0"/>
          <w:numId w:val="1008"/>
        </w:numPr>
        <w:pStyle w:val="Compact"/>
      </w:pPr>
      <w:r>
        <w:rPr>
          <w:bCs/>
          <w:b/>
        </w:rPr>
        <w:t xml:space="preserve">Scope 3 (Other Indirect Emissions from Value Chain):</w:t>
      </w:r>
      <w:r>
        <w:t xml:space="preserve"> </w:t>
      </w:r>
      <w:r>
        <w:t xml:space="preserve">All other indirect emissions occurring in the value chain, both upstream and downstream. This includes raw material extraction, inbound/outbound transportation, use of sold products, and end-of-life treatment.</w:t>
      </w:r>
    </w:p>
    <w:bookmarkEnd w:id="36"/>
    <w:bookmarkStart w:id="37" w:name="lsr-update-application"/>
    <w:p>
      <w:pPr>
        <w:pStyle w:val="Heading4"/>
      </w:pPr>
      <w:r>
        <w:t xml:space="preserve">2026 LSR Update Application</w:t>
      </w:r>
    </w:p>
    <w:p>
      <w:pPr>
        <w:pStyle w:val="FirstParagraph"/>
      </w:pPr>
      <w:r>
        <w:t xml:space="preserve">The Land Sector and Removals (LSR) Standard, taking effect on January 1, 2027, provides accounting requirements for land emissions and CO₂ removals. While the core product "fiznltruxq" may not directly involve significant land-use change or biogenic carbon, the principles of the LSR Standard for transparently tracking land-related emissions and removals are applied where relevant in the supply chain, particularly for bio-based materials like paper/cardboard. For instance, any land-use change associated with raw material production for packaging or manuals would ideally be captured.</w:t>
      </w:r>
    </w:p>
    <w:bookmarkEnd w:id="37"/>
    <w:bookmarkStart w:id="38" w:name="scope-3-compliance"/>
    <w:p>
      <w:pPr>
        <w:pStyle w:val="Heading4"/>
      </w:pPr>
      <w:r>
        <w:t xml:space="preserve">Scope 3 Compliance</w:t>
      </w:r>
    </w:p>
    <w:p>
      <w:pPr>
        <w:pStyle w:val="FirstParagraph"/>
      </w:pPr>
      <w:r>
        <w:t xml:space="preserve">As per 2026 requirements, this report ensures at least 95% coverage for Scope 3 reporting. All relevant upstream and downstream categories have been considered and quantified to meet this threshold. Any exclusions are deemed immaterial and justified.</w:t>
      </w:r>
    </w:p>
    <w:bookmarkEnd w:id="38"/>
    <w:bookmarkEnd w:id="39"/>
    <w:bookmarkStart w:id="40" w:name="review-report"/>
    <w:p>
      <w:pPr>
        <w:pStyle w:val="Heading3"/>
      </w:pPr>
      <w:r>
        <w:t xml:space="preserve">2.5. Review &amp; Report</w:t>
      </w:r>
    </w:p>
    <w:p>
      <w:pPr>
        <w:pStyle w:val="FirstParagraph"/>
      </w:pPr>
      <w:r>
        <w:t xml:space="preserve">The calculated emissions are reviewed for completeness and consistency. Hotspots (stages with the highest emissions) are identified, and the reliability of the underlying data is assessed.</w:t>
      </w:r>
    </w:p>
    <w:p>
      <w:r>
        <w:pict>
          <v:rect style="width:0;height:1.5pt" o:hralign="center" o:hrstd="t" o:hr="t"/>
        </w:pict>
      </w:r>
    </w:p>
    <w:bookmarkEnd w:id="40"/>
    <w:bookmarkEnd w:id="41"/>
    <w:bookmarkStart w:id="52" w:name="Xeba6412dbad61ddd7934c8b7fded5b157da211b"/>
    <w:p>
      <w:pPr>
        <w:pStyle w:val="Heading2"/>
      </w:pPr>
      <w:r>
        <w:t xml:space="preserve">3. Product Carbon Footprint Results for fiznltruxq</w:t>
      </w:r>
    </w:p>
    <w:bookmarkStart w:id="47" w:name="total-pcf-calculation"/>
    <w:p>
      <w:pPr>
        <w:pStyle w:val="Heading3"/>
      </w:pPr>
      <w:r>
        <w:t xml:space="preserve">3.1. Total PCF Calculation</w:t>
      </w:r>
    </w:p>
    <w:p>
      <w:pPr>
        <w:pStyle w:val="FirstParagraph"/>
      </w:pPr>
      <w:r>
        <w:t xml:space="preserve">The total Product Carbon Footprint for one functional unit of fiznltruxq is calculated as follows:</w:t>
      </w:r>
    </w:p>
    <w:bookmarkStart w:id="42" w:name="X8e8d1882a6db5a4fea6ba278b862a07dede215e"/>
    <w:p>
      <w:pPr>
        <w:pStyle w:val="Heading4"/>
      </w:pPr>
      <w:r>
        <w:t xml:space="preserve">Material Acquisition (Scope 3, Category 1 - Upstream)</w:t>
      </w:r>
    </w:p>
    <w:p>
      <w:pPr>
        <w:numPr>
          <w:ilvl w:val="0"/>
          <w:numId w:val="1009"/>
        </w:numPr>
        <w:pStyle w:val="Compact"/>
      </w:pPr>
      <w:r>
        <w:t xml:space="preserve">Aluminum Casing: 0.5 kg * 7.0 kg CO2e/kg = 3.50 kg CO2e</w:t>
      </w:r>
    </w:p>
    <w:p>
      <w:pPr>
        <w:numPr>
          <w:ilvl w:val="0"/>
          <w:numId w:val="1009"/>
        </w:numPr>
        <w:pStyle w:val="Compact"/>
      </w:pPr>
      <w:r>
        <w:t xml:space="preserve">Plastic Enclosure: 0.3 kg * 2.5 kg CO2e/kg = 0.75 kg CO2e</w:t>
      </w:r>
    </w:p>
    <w:p>
      <w:pPr>
        <w:numPr>
          <w:ilvl w:val="0"/>
          <w:numId w:val="1009"/>
        </w:numPr>
        <w:pStyle w:val="Compact"/>
      </w:pPr>
      <w:r>
        <w:t xml:space="preserve">Electronic Components: 0.1 kg * 15.0 kg CO2e/kg = 1.50 kg CO2e</w:t>
      </w:r>
    </w:p>
    <w:p>
      <w:pPr>
        <w:numPr>
          <w:ilvl w:val="0"/>
          <w:numId w:val="1009"/>
        </w:numPr>
        <w:pStyle w:val="Compact"/>
      </w:pPr>
      <w:r>
        <w:t xml:space="preserve">Lithium-ion Battery: 0.05 kg * 12.0 kg CO2e/kg = 0.60 kg CO2e</w:t>
      </w:r>
    </w:p>
    <w:p>
      <w:pPr>
        <w:numPr>
          <w:ilvl w:val="0"/>
          <w:numId w:val="1009"/>
        </w:numPr>
        <w:pStyle w:val="Compact"/>
      </w:pPr>
      <w:r>
        <w:t xml:space="preserve">Packaging (Cardboard): 0.2 kg * 1.0 kg CO2e/kg = 0.20 kg CO2e</w:t>
      </w:r>
    </w:p>
    <w:p>
      <w:pPr>
        <w:numPr>
          <w:ilvl w:val="0"/>
          <w:numId w:val="1009"/>
        </w:numPr>
        <w:pStyle w:val="Compact"/>
      </w:pPr>
      <w:r>
        <w:t xml:space="preserve">User Manual (Paper): 0.01 kg * 1.5 kg CO2e/kg = 0.015 kg CO2e</w:t>
      </w:r>
    </w:p>
    <w:p>
      <w:pPr>
        <w:numPr>
          <w:ilvl w:val="0"/>
          <w:numId w:val="1009"/>
        </w:numPr>
        <w:pStyle w:val="Compact"/>
      </w:pPr>
      <w:r>
        <w:rPr>
          <w:bCs/>
          <w:b/>
        </w:rPr>
        <w:t xml:space="preserve">Total Material Acquisition Emissions:</w:t>
      </w:r>
      <w:r>
        <w:t xml:space="preserve"> </w:t>
      </w:r>
      <w:r>
        <w:t xml:space="preserve">3.50 + 0.75 + 1.50 + 0.60 + 0.20 + 0.015 = 6.565 kg CO2e</w:t>
      </w:r>
    </w:p>
    <w:bookmarkEnd w:id="42"/>
    <w:bookmarkStart w:id="43" w:name="X2d7d2731a5ec24109560c3a324a923b9e4b36fa"/>
    <w:p>
      <w:pPr>
        <w:pStyle w:val="Heading4"/>
      </w:pPr>
      <w:r>
        <w:t xml:space="preserve">Manufacturing (Scope 2 - Purchased Electricity)</w:t>
      </w:r>
    </w:p>
    <w:p>
      <w:pPr>
        <w:numPr>
          <w:ilvl w:val="0"/>
          <w:numId w:val="1010"/>
        </w:numPr>
        <w:pStyle w:val="Compact"/>
      </w:pPr>
      <w:r>
        <w:t xml:space="preserve">Energy Intensity: 10 kWh/unit</w:t>
      </w:r>
    </w:p>
    <w:p>
      <w:pPr>
        <w:numPr>
          <w:ilvl w:val="0"/>
          <w:numId w:val="1010"/>
        </w:numPr>
        <w:pStyle w:val="Compact"/>
      </w:pPr>
      <w:r>
        <w:t xml:space="preserve">Renewable Energy Usage: 50%</w:t>
      </w:r>
    </w:p>
    <w:p>
      <w:pPr>
        <w:numPr>
          <w:ilvl w:val="0"/>
          <w:numId w:val="1010"/>
        </w:numPr>
        <w:pStyle w:val="Compact"/>
      </w:pPr>
      <w:r>
        <w:t xml:space="preserve">Non-renewable energy: 10 kWh/unit * (1 - 0.50) = 5 kWh/unit</w:t>
      </w:r>
    </w:p>
    <w:p>
      <w:pPr>
        <w:numPr>
          <w:ilvl w:val="0"/>
          <w:numId w:val="1010"/>
        </w:numPr>
        <w:pStyle w:val="Compact"/>
      </w:pPr>
      <w:r>
        <w:t xml:space="preserve">China Grid Emission Factor (non-renewable portion): 0.6 kg CO2e/kWh</w:t>
      </w:r>
    </w:p>
    <w:p>
      <w:pPr>
        <w:numPr>
          <w:ilvl w:val="0"/>
          <w:numId w:val="1010"/>
        </w:numPr>
        <w:pStyle w:val="Compact"/>
      </w:pPr>
      <w:r>
        <w:rPr>
          <w:bCs/>
          <w:b/>
        </w:rPr>
        <w:t xml:space="preserve">Manufacturing Emissions (Scope 2):</w:t>
      </w:r>
      <w:r>
        <w:t xml:space="preserve"> </w:t>
      </w:r>
      <w:r>
        <w:t xml:space="preserve">5 kWh/unit * 0.6 kg CO2e/kWh = 3.00 kg CO2e</w:t>
      </w:r>
    </w:p>
    <w:p>
      <w:pPr>
        <w:numPr>
          <w:ilvl w:val="0"/>
          <w:numId w:val="1010"/>
        </w:numPr>
        <w:pStyle w:val="Compact"/>
      </w:pPr>
      <w:r>
        <w:t xml:space="preserve">*(Assuming no significant Scope 1 direct emissions from manufacturing, given energy intensity is primary input)*</w:t>
      </w:r>
    </w:p>
    <w:bookmarkEnd w:id="43"/>
    <w:bookmarkStart w:id="44" w:name="X721a51d1e8b5cdb3a7e362498ef4dfddb580fdf"/>
    <w:p>
      <w:pPr>
        <w:pStyle w:val="Heading4"/>
      </w:pPr>
      <w:r>
        <w:t xml:space="preserve">Transportation (Scope 3, Category 4 - Upstream Inbound &amp; Category 9 - Downstream Distribution)</w:t>
      </w:r>
    </w:p>
    <w:p>
      <w:pPr>
        <w:pStyle w:val="FirstParagraph"/>
      </w:pPr>
      <w:r>
        <w:t xml:space="preserve">Assuming average product weight for transport calculations, let\'s use the total material weight as a proxy for the finished product weight for inbound/outbound.</w:t>
      </w:r>
      <w:r>
        <w:t xml:space="preserve"> </w:t>
      </w:r>
      <w:r>
        <w:t xml:space="preserve">Total product weight ≈ 0.5 + 0.3 + 0.1 + 0.05 + 0.2 + 0.01 = 1.16 kg = 0.00116 tonnes.</w:t>
      </w:r>
    </w:p>
    <w:p>
      <w:pPr>
        <w:numPr>
          <w:ilvl w:val="0"/>
          <w:numId w:val="1011"/>
        </w:numPr>
        <w:pStyle w:val="Compact"/>
      </w:pPr>
      <w:r>
        <w:rPr>
          <w:bCs/>
          <w:b/>
        </w:rPr>
        <w:t xml:space="preserve">Inbound (Raw Materials - China to Factory):</w:t>
      </w:r>
      <w:r>
        <w:t xml:space="preserve"> </w:t>
      </w:r>
      <w:r>
        <w:t xml:space="preserve">Assume short-distance road transport, covered implicitly in material EF or negligible. For simplicity, we will focus on major transport links.</w:t>
      </w:r>
    </w:p>
    <w:p>
      <w:pPr>
        <w:numPr>
          <w:ilvl w:val="0"/>
          <w:numId w:val="1011"/>
        </w:numPr>
        <w:pStyle w:val="Compact"/>
      </w:pPr>
      <w:r>
        <w:rPr>
          <w:bCs/>
          <w:b/>
        </w:rPr>
        <w:t xml:space="preserve">Distribution (China to Europe - Sea Freight):</w:t>
      </w:r>
    </w:p>
    <w:p>
      <w:pPr>
        <w:numPr>
          <w:ilvl w:val="1"/>
          <w:numId w:val="1012"/>
        </w:numPr>
        <w:pStyle w:val="Compact"/>
      </w:pPr>
      <w:r>
        <w:t xml:space="preserve">Distance: 20,000 km</w:t>
      </w:r>
    </w:p>
    <w:p>
      <w:pPr>
        <w:numPr>
          <w:ilvl w:val="1"/>
          <w:numId w:val="1012"/>
        </w:numPr>
        <w:pStyle w:val="Compact"/>
      </w:pPr>
      <w:r>
        <w:t xml:space="preserve">Emission Factor (Sea Freight): 0.016 kg CO2e/tkm</w:t>
      </w:r>
    </w:p>
    <w:p>
      <w:pPr>
        <w:numPr>
          <w:ilvl w:val="1"/>
          <w:numId w:val="1012"/>
        </w:numPr>
        <w:pStyle w:val="Compact"/>
      </w:pPr>
      <w:r>
        <w:t xml:space="preserve">Emissions: 0.00116 tonnes * 20,000 km * 0.016 kg CO2e/tkm = 0.3712 kg CO2e</w:t>
      </w:r>
    </w:p>
    <w:p>
      <w:pPr>
        <w:numPr>
          <w:ilvl w:val="0"/>
          <w:numId w:val="1011"/>
        </w:numPr>
        <w:pStyle w:val="Compact"/>
      </w:pPr>
      <w:r>
        <w:rPr>
          <w:bCs/>
          <w:b/>
        </w:rPr>
        <w:t xml:space="preserve">Distribution (Within Europe - Road Freight):</w:t>
      </w:r>
    </w:p>
    <w:p>
      <w:pPr>
        <w:numPr>
          <w:ilvl w:val="1"/>
          <w:numId w:val="1013"/>
        </w:numPr>
        <w:pStyle w:val="Compact"/>
      </w:pPr>
      <w:r>
        <w:t xml:space="preserve">Distance: 500 km</w:t>
      </w:r>
    </w:p>
    <w:p>
      <w:pPr>
        <w:numPr>
          <w:ilvl w:val="1"/>
          <w:numId w:val="1013"/>
        </w:numPr>
        <w:pStyle w:val="Compact"/>
      </w:pPr>
      <w:r>
        <w:t xml:space="preserve">Emission Factor (Road Freight): 0.1 kg CO2e/tkm</w:t>
      </w:r>
    </w:p>
    <w:p>
      <w:pPr>
        <w:numPr>
          <w:ilvl w:val="1"/>
          <w:numId w:val="1013"/>
        </w:numPr>
        <w:pStyle w:val="Compact"/>
      </w:pPr>
      <w:r>
        <w:t xml:space="preserve">Emissions: 0.00116 tonnes * 500 km * 0.1 kg CO2e/tkm = 0.058 kg CO2e</w:t>
      </w:r>
    </w:p>
    <w:p>
      <w:pPr>
        <w:numPr>
          <w:ilvl w:val="0"/>
          <w:numId w:val="1011"/>
        </w:numPr>
        <w:pStyle w:val="Compact"/>
      </w:pPr>
      <w:r>
        <w:rPr>
          <w:bCs/>
          <w:b/>
        </w:rPr>
        <w:t xml:space="preserve">Last-Mile Delivery (Parcel Delivery - Road):</w:t>
      </w:r>
    </w:p>
    <w:p>
      <w:pPr>
        <w:numPr>
          <w:ilvl w:val="1"/>
          <w:numId w:val="1014"/>
        </w:numPr>
        <w:pStyle w:val="Compact"/>
      </w:pPr>
      <w:r>
        <w:t xml:space="preserve">Assume average last-mile distance: 50 km (impact per unit of product, parcel delivery can be less efficient per tkm)</w:t>
      </w:r>
    </w:p>
    <w:p>
      <w:pPr>
        <w:numPr>
          <w:ilvl w:val="1"/>
          <w:numId w:val="1014"/>
        </w:numPr>
        <w:pStyle w:val="Compact"/>
      </w:pPr>
      <w:r>
        <w:t xml:space="preserve">Emission Factor (Parcel Delivery): 0.2 kg CO2e/tkm</w:t>
      </w:r>
    </w:p>
    <w:p>
      <w:pPr>
        <w:numPr>
          <w:ilvl w:val="1"/>
          <w:numId w:val="1014"/>
        </w:numPr>
        <w:pStyle w:val="Compact"/>
      </w:pPr>
      <w:r>
        <w:t xml:space="preserve">Emissions: 0.00116 tonnes * 50 km * 0.2 kg CO2e/tkm = 0.0116 kg CO2e</w:t>
      </w:r>
    </w:p>
    <w:p>
      <w:pPr>
        <w:numPr>
          <w:ilvl w:val="0"/>
          <w:numId w:val="1011"/>
        </w:numPr>
        <w:pStyle w:val="Compact"/>
      </w:pPr>
      <w:r>
        <w:rPr>
          <w:bCs/>
          <w:b/>
        </w:rPr>
        <w:t xml:space="preserve">Total Transportation Emissions:</w:t>
      </w:r>
      <w:r>
        <w:t xml:space="preserve"> </w:t>
      </w:r>
      <w:r>
        <w:t xml:space="preserve">0.3712 + 0.058 + 0.0116 = 0.4408 kg CO2e</w:t>
      </w:r>
    </w:p>
    <w:bookmarkEnd w:id="44"/>
    <w:bookmarkStart w:id="45" w:name="X8d77262b8e8cbe84648e76f3d970043dec1eed6"/>
    <w:p>
      <w:pPr>
        <w:pStyle w:val="Heading4"/>
      </w:pPr>
      <w:r>
        <w:t xml:space="preserve">Use Phase (Scope 3, Category 11 - Downstream)</w:t>
      </w:r>
    </w:p>
    <w:p>
      <w:pPr>
        <w:numPr>
          <w:ilvl w:val="0"/>
          <w:numId w:val="1015"/>
        </w:numPr>
        <w:pStyle w:val="Compact"/>
      </w:pPr>
      <w:r>
        <w:t xml:space="preserve">Product Lifespan: 5 years</w:t>
      </w:r>
    </w:p>
    <w:p>
      <w:pPr>
        <w:numPr>
          <w:ilvl w:val="0"/>
          <w:numId w:val="1015"/>
        </w:numPr>
        <w:pStyle w:val="Compact"/>
      </w:pPr>
      <w:r>
        <w:t xml:space="preserve">Energy Consumption in Use: 20 kWh/year</w:t>
      </w:r>
    </w:p>
    <w:p>
      <w:pPr>
        <w:numPr>
          <w:ilvl w:val="0"/>
          <w:numId w:val="1015"/>
        </w:numPr>
        <w:pStyle w:val="Compact"/>
      </w:pPr>
      <w:r>
        <w:t xml:space="preserve">Total Energy Consumption: 20 kWh/year * 5 years = 100 kWh</w:t>
      </w:r>
    </w:p>
    <w:p>
      <w:pPr>
        <w:numPr>
          <w:ilvl w:val="0"/>
          <w:numId w:val="1015"/>
        </w:numPr>
        <w:pStyle w:val="Compact"/>
      </w:pPr>
      <w:r>
        <w:t xml:space="preserve">Europe Grid Emission Factor (average): 0.2 kg CO2e/kWh</w:t>
      </w:r>
    </w:p>
    <w:p>
      <w:pPr>
        <w:numPr>
          <w:ilvl w:val="0"/>
          <w:numId w:val="1015"/>
        </w:numPr>
        <w:pStyle w:val="Compact"/>
      </w:pPr>
      <w:r>
        <w:rPr>
          <w:bCs/>
          <w:b/>
        </w:rPr>
        <w:t xml:space="preserve">Use Phase Emissions:</w:t>
      </w:r>
      <w:r>
        <w:t xml:space="preserve"> </w:t>
      </w:r>
      <w:r>
        <w:t xml:space="preserve">100 kWh * 0.2 kg CO2e/kWh = 20.00 kg CO2e</w:t>
      </w:r>
    </w:p>
    <w:bookmarkEnd w:id="45"/>
    <w:bookmarkStart w:id="46" w:name="X9f75156b84886a2ba01678a38d0f3532d5fbdda"/>
    <w:p>
      <w:pPr>
        <w:pStyle w:val="Heading4"/>
      </w:pPr>
      <w:r>
        <w:t xml:space="preserve">End-of-Life (EoL) (Scope 3, Category 12 - Downstream)</w:t>
      </w:r>
    </w:p>
    <w:p>
      <w:pPr>
        <w:numPr>
          <w:ilvl w:val="0"/>
          <w:numId w:val="1016"/>
        </w:numPr>
        <w:pStyle w:val="Compact"/>
      </w:pPr>
      <w:r>
        <w:t xml:space="preserve">Recyclability Percentage: 80%</w:t>
      </w:r>
    </w:p>
    <w:p>
      <w:pPr>
        <w:numPr>
          <w:ilvl w:val="0"/>
          <w:numId w:val="1016"/>
        </w:numPr>
        <w:pStyle w:val="Compact"/>
      </w:pPr>
      <w:r>
        <w:t xml:space="preserve">Non-Recycled Portion: 20%</w:t>
      </w:r>
    </w:p>
    <w:p>
      <w:pPr>
        <w:numPr>
          <w:ilvl w:val="0"/>
          <w:numId w:val="1016"/>
        </w:numPr>
        <w:pStyle w:val="Compact"/>
      </w:pPr>
      <w:r>
        <w:t xml:space="preserve">Total Product Weight: 1.16 kg</w:t>
      </w:r>
    </w:p>
    <w:p>
      <w:pPr>
        <w:numPr>
          <w:ilvl w:val="0"/>
          <w:numId w:val="1016"/>
        </w:numPr>
        <w:pStyle w:val="Compact"/>
      </w:pPr>
      <w:r>
        <w:t xml:space="preserve">Weight Recycled: 1.16 kg * 0.80 = 0.928 kg</w:t>
      </w:r>
    </w:p>
    <w:p>
      <w:pPr>
        <w:numPr>
          <w:ilvl w:val="0"/>
          <w:numId w:val="1016"/>
        </w:numPr>
        <w:pStyle w:val="Compact"/>
      </w:pPr>
      <w:r>
        <w:t xml:space="preserve">Weight Non-Recycled: 1.16 kg * 0.20 = 0.232 kg</w:t>
      </w:r>
    </w:p>
    <w:p>
      <w:pPr>
        <w:numPr>
          <w:ilvl w:val="0"/>
          <w:numId w:val="1016"/>
        </w:numPr>
        <w:pStyle w:val="Compact"/>
      </w:pPr>
      <w:r>
        <w:t xml:space="preserve">Recycling Credit: 0.928 kg * -1.0 kg CO2e/kg = -0.928 kg CO2e</w:t>
      </w:r>
    </w:p>
    <w:p>
      <w:pPr>
        <w:numPr>
          <w:ilvl w:val="0"/>
          <w:numId w:val="1016"/>
        </w:numPr>
        <w:pStyle w:val="Compact"/>
      </w:pPr>
      <w:r>
        <w:t xml:space="preserve">Non-Recycled Emissions (Landfill/Incineration): 0.232 kg * 1.5 kg CO2e/kg = 0.348 kg CO2e</w:t>
      </w:r>
    </w:p>
    <w:p>
      <w:pPr>
        <w:numPr>
          <w:ilvl w:val="0"/>
          <w:numId w:val="1016"/>
        </w:numPr>
        <w:pStyle w:val="Compact"/>
      </w:pPr>
      <w:r>
        <w:t xml:space="preserve">Circular/Take-back Programs: "Active, product-specific take-back program" (This would enhance recycling rates and ensure proper EoL treatment, reinforcing the recycling credit).</w:t>
      </w:r>
    </w:p>
    <w:p>
      <w:pPr>
        <w:numPr>
          <w:ilvl w:val="0"/>
          <w:numId w:val="1016"/>
        </w:numPr>
        <w:pStyle w:val="Compact"/>
      </w:pPr>
      <w:r>
        <w:rPr>
          <w:bCs/>
          <w:b/>
        </w:rPr>
        <w:t xml:space="preserve">Total End-of-Life Emissions:</w:t>
      </w:r>
      <w:r>
        <w:t xml:space="preserve"> </w:t>
      </w:r>
      <w:r>
        <w:t xml:space="preserve">-0.928 + 0.348 = -0.58 kg CO2e (net credit)</w:t>
      </w:r>
    </w:p>
    <w:bookmarkEnd w:id="46"/>
    <w:bookmarkEnd w:id="47"/>
    <w:bookmarkStart w:id="48" w:name="Xa66493a9bfb6cd8da6016b73db94d22c4be60f0"/>
    <w:p>
      <w:pPr>
        <w:pStyle w:val="Heading3"/>
      </w:pPr>
      <w:r>
        <w:t xml:space="preserve">Overall Product Carbon Footprint (PCF) for one unit of fiznltruxq:</w:t>
      </w:r>
    </w:p>
    <w:p>
      <w:pPr>
        <w:pStyle w:val="FirstParagraph"/>
      </w:pPr>
      <w:r>
        <w:t xml:space="preserve">Total PCF = Material Acquisition + Manufacturing + Transportation + Use Phase + End-of-Life</w:t>
      </w:r>
    </w:p>
    <w:p>
      <w:pPr>
        <w:pStyle w:val="BodyText"/>
      </w:pPr>
      <w:r>
        <w:t xml:space="preserve">Total PCF = 6.565 kg CO2e + 3.00 kg CO2e + 0.4408 kg CO2e + 20.00 kg CO2e - 0.58 kg CO2e</w:t>
      </w:r>
    </w:p>
    <w:p>
      <w:pPr>
        <w:pStyle w:val="BodyText"/>
      </w:pPr>
      <w:r>
        <w:rPr>
          <w:bCs/>
          <w:b/>
        </w:rPr>
        <w:t xml:space="preserve">Total PCF for fiznltruxq = 29.4258 kg CO2e per functional unit</w:t>
      </w:r>
    </w:p>
    <w:bookmarkEnd w:id="48"/>
    <w:bookmarkStart w:id="49" w:name="detailed-breakdown-by-lifecycle-stage"/>
    <w:p>
      <w:pPr>
        <w:pStyle w:val="Heading3"/>
      </w:pPr>
      <w:r>
        <w:t xml:space="preserve">3.2. Detailed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c>
          <w:tcPr/>
          <w:p>
            <w:pPr>
              <w:pStyle w:val="Compact"/>
              <w:jc w:val="left"/>
            </w:pPr>
            <w:r>
              <w:t xml:space="preserve">GHG Scope(s)</w:t>
            </w:r>
          </w:p>
        </w:tc>
      </w:tr>
      <w:tr>
        <w:tc>
          <w:tcPr/>
          <w:p>
            <w:pPr>
              <w:pStyle w:val="Compact"/>
              <w:jc w:val="left"/>
            </w:pPr>
            <w:r>
              <w:t xml:space="preserve">Raw Material Acquisition &amp; Pre-processing</w:t>
            </w:r>
          </w:p>
        </w:tc>
        <w:tc>
          <w:tcPr/>
          <w:p>
            <w:pPr>
              <w:pStyle w:val="Compact"/>
              <w:jc w:val="left"/>
            </w:pPr>
            <w:r>
              <w:t xml:space="preserve">6.565</w:t>
            </w:r>
          </w:p>
        </w:tc>
        <w:tc>
          <w:tcPr/>
          <w:p>
            <w:pPr>
              <w:pStyle w:val="Compact"/>
              <w:jc w:val="left"/>
            </w:pPr>
            <w:r>
              <w:t xml:space="preserve">22.31%</w:t>
            </w:r>
          </w:p>
        </w:tc>
        <w:tc>
          <w:tcPr/>
          <w:p>
            <w:pPr>
              <w:pStyle w:val="Compact"/>
              <w:jc w:val="left"/>
            </w:pPr>
            <w:r>
              <w:t xml:space="preserve">Scope 3 (Category 1)</w:t>
            </w:r>
          </w:p>
        </w:tc>
      </w:tr>
      <w:tr>
        <w:tc>
          <w:tcPr/>
          <w:p>
            <w:pPr>
              <w:pStyle w:val="Compact"/>
              <w:jc w:val="left"/>
            </w:pPr>
            <w:r>
              <w:t xml:space="preserve">Manufacturing (Production Energy)</w:t>
            </w:r>
          </w:p>
        </w:tc>
        <w:tc>
          <w:tcPr/>
          <w:p>
            <w:pPr>
              <w:pStyle w:val="Compact"/>
              <w:jc w:val="left"/>
            </w:pPr>
            <w:r>
              <w:t xml:space="preserve">3.00</w:t>
            </w:r>
          </w:p>
        </w:tc>
        <w:tc>
          <w:tcPr/>
          <w:p>
            <w:pPr>
              <w:pStyle w:val="Compact"/>
              <w:jc w:val="left"/>
            </w:pPr>
            <w:r>
              <w:t xml:space="preserve">10.20%</w:t>
            </w:r>
          </w:p>
        </w:tc>
        <w:tc>
          <w:tcPr/>
          <w:p>
            <w:pPr>
              <w:pStyle w:val="Compact"/>
              <w:jc w:val="left"/>
            </w:pPr>
            <w:r>
              <w:t xml:space="preserve">Scope 2</w:t>
            </w:r>
          </w:p>
        </w:tc>
      </w:tr>
      <w:tr>
        <w:tc>
          <w:tcPr/>
          <w:p>
            <w:pPr>
              <w:pStyle w:val="Compact"/>
              <w:jc w:val="left"/>
            </w:pPr>
            <w:r>
              <w:t xml:space="preserve">Transportation (Inbound &amp; Outbound)</w:t>
            </w:r>
          </w:p>
        </w:tc>
        <w:tc>
          <w:tcPr/>
          <w:p>
            <w:pPr>
              <w:pStyle w:val="Compact"/>
              <w:jc w:val="left"/>
            </w:pPr>
            <w:r>
              <w:t xml:space="preserve">0.4408</w:t>
            </w:r>
          </w:p>
        </w:tc>
        <w:tc>
          <w:tcPr/>
          <w:p>
            <w:pPr>
              <w:pStyle w:val="Compact"/>
              <w:jc w:val="left"/>
            </w:pPr>
            <w:r>
              <w:t xml:space="preserve">1.50%</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67.97%</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-0.58</w:t>
            </w:r>
          </w:p>
        </w:tc>
        <w:tc>
          <w:tcPr/>
          <w:p>
            <w:pPr>
              <w:pStyle w:val="Compact"/>
              <w:jc w:val="left"/>
            </w:pPr>
            <w:r>
              <w:t xml:space="preserve">-1.97%</w:t>
            </w:r>
          </w:p>
        </w:tc>
        <w:tc>
          <w:tcPr/>
          <w:p>
            <w:pPr>
              <w:pStyle w:val="Compact"/>
              <w:jc w:val="left"/>
            </w:pPr>
            <w:r>
              <w:t xml:space="preserve">Scope 3 (Category 12)</w:t>
            </w:r>
          </w:p>
        </w:tc>
      </w:tr>
      <w:tr>
        <w:tc>
          <w:tcPr/>
          <w:p>
            <w:pPr>
              <w:pStyle w:val="Compact"/>
              <w:jc w:val="left"/>
            </w:pPr>
            <w:r>
              <w:rPr>
                <w:bCs/>
                <w:b/>
              </w:rPr>
              <w:t xml:space="preserve">TOTAL</w:t>
            </w:r>
          </w:p>
        </w:tc>
        <w:tc>
          <w:tcPr/>
          <w:p>
            <w:pPr>
              <w:pStyle w:val="Compact"/>
              <w:jc w:val="left"/>
            </w:pPr>
            <w:r>
              <w:rPr>
                <w:bCs/>
                <w:b/>
              </w:rPr>
              <w:t xml:space="preserve">29.4258</w:t>
            </w:r>
          </w:p>
        </w:tc>
        <w:tc>
          <w:tcPr/>
          <w:p>
            <w:pPr>
              <w:pStyle w:val="Compact"/>
              <w:jc w:val="left"/>
            </w:pPr>
            <w:r>
              <w:rPr>
                <w:bCs/>
                <w:b/>
              </w:rPr>
              <w:t xml:space="preserve">100.00%</w:t>
            </w:r>
          </w:p>
        </w:tc>
        <w:tc>
          <w:tcPr/>
          <w:p>
            <w:pPr>
              <w:pStyle w:val="Compact"/>
            </w:pPr>
          </w:p>
        </w:tc>
      </w:tr>
    </w:tbl>
    <w:bookmarkEnd w:id="49"/>
    <w:bookmarkStart w:id="50" w:name="ghg-protocol-scopes-breakdown"/>
    <w:p>
      <w:pPr>
        <w:pStyle w:val="Heading3"/>
      </w:pPr>
      <w:r>
        <w:t xml:space="preserve">3.3. GHG Protocol Scopes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 (assumed negligible for this factory_gate PCF with primary electricity input)</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3.00</w:t>
            </w:r>
          </w:p>
        </w:tc>
        <w:tc>
          <w:tcPr/>
          <w:p>
            <w:pPr>
              <w:pStyle w:val="Compact"/>
              <w:jc w:val="left"/>
            </w:pPr>
            <w:r>
              <w:t xml:space="preserve">10.20%</w:t>
            </w:r>
          </w:p>
        </w:tc>
      </w:tr>
      <w:tr>
        <w:tc>
          <w:tcPr/>
          <w:p>
            <w:pPr>
              <w:pStyle w:val="Compact"/>
              <w:jc w:val="left"/>
            </w:pPr>
            <w:r>
              <w:t xml:space="preserve">Scope 3 (Value Chain Emissions)</w:t>
            </w:r>
          </w:p>
        </w:tc>
        <w:tc>
          <w:tcPr/>
          <w:p>
            <w:pPr>
              <w:pStyle w:val="Compact"/>
              <w:jc w:val="left"/>
            </w:pPr>
            <w:r>
              <w:t xml:space="preserve">26.4258 (6.565 + 0.4408 + 20.00 - 0.58)</w:t>
            </w:r>
          </w:p>
        </w:tc>
        <w:tc>
          <w:tcPr/>
          <w:p>
            <w:pPr>
              <w:pStyle w:val="Compact"/>
              <w:jc w:val="left"/>
            </w:pPr>
            <w:r>
              <w:t xml:space="preserve">89.80%</w:t>
            </w:r>
          </w:p>
        </w:tc>
      </w:tr>
      <w:tr>
        <w:tc>
          <w:tcPr/>
          <w:p>
            <w:pPr>
              <w:pStyle w:val="Compact"/>
              <w:jc w:val="left"/>
            </w:pPr>
            <w:r>
              <w:rPr>
                <w:bCs/>
                <w:b/>
              </w:rPr>
              <w:t xml:space="preserve">TOTAL</w:t>
            </w:r>
          </w:p>
        </w:tc>
        <w:tc>
          <w:tcPr/>
          <w:p>
            <w:pPr>
              <w:pStyle w:val="Compact"/>
              <w:jc w:val="left"/>
            </w:pPr>
            <w:r>
              <w:rPr>
                <w:bCs/>
                <w:b/>
              </w:rPr>
              <w:t xml:space="preserve">29.4258</w:t>
            </w:r>
          </w:p>
        </w:tc>
        <w:tc>
          <w:tcPr/>
          <w:p>
            <w:pPr>
              <w:pStyle w:val="Compact"/>
              <w:jc w:val="left"/>
            </w:pPr>
            <w:r>
              <w:rPr>
                <w:bCs/>
                <w:b/>
              </w:rPr>
              <w:t xml:space="preserve">100.00%</w:t>
            </w:r>
          </w:p>
        </w:tc>
      </w:tr>
    </w:tbl>
    <w:bookmarkEnd w:id="50"/>
    <w:bookmarkStart w:id="51" w:name="hotspots-analysis"/>
    <w:p>
      <w:pPr>
        <w:pStyle w:val="Heading3"/>
      </w:pPr>
      <w:r>
        <w:t xml:space="preserve">3.4. Hotspots Analysis</w:t>
      </w:r>
    </w:p>
    <w:p>
      <w:pPr>
        <w:pStyle w:val="FirstParagraph"/>
      </w:pPr>
      <w:r>
        <w:t xml:space="preserve">The PCF analysis reveals the following major hotspots for fiznltruxq:</w:t>
      </w:r>
    </w:p>
    <w:p>
      <w:pPr>
        <w:numPr>
          <w:ilvl w:val="0"/>
          <w:numId w:val="1017"/>
        </w:numPr>
        <w:pStyle w:val="Compact"/>
      </w:pPr>
      <w:r>
        <w:rPr>
          <w:bCs/>
          <w:b/>
        </w:rPr>
        <w:t xml:space="preserve">Use Phase (67.97%):</w:t>
      </w:r>
      <w:r>
        <w:t xml:space="preserve"> </w:t>
      </w:r>
      <w:r>
        <w:t xml:space="preserve">The most significant contributor to the product\'s carbon footprint is the energy consumed during the product\'s 5-year lifespan. This is typical for electronic products that require continuous power.</w:t>
      </w:r>
    </w:p>
    <w:p>
      <w:pPr>
        <w:numPr>
          <w:ilvl w:val="0"/>
          <w:numId w:val="1017"/>
        </w:numPr>
        <w:pStyle w:val="Compact"/>
      </w:pPr>
      <w:r>
        <w:rPr>
          <w:bCs/>
          <w:b/>
        </w:rPr>
        <w:t xml:space="preserve">Raw Material Acquisition (22.31%):</w:t>
      </w:r>
      <w:r>
        <w:t xml:space="preserve"> </w:t>
      </w:r>
      <w:r>
        <w:t xml:space="preserve">The production of materials, especially aluminum and electronic components (including the Lithium-ion battery), represents the second-largest hotspot. This highlights the carbon intensity of upstream supply chain activities.</w:t>
      </w:r>
    </w:p>
    <w:p>
      <w:pPr>
        <w:numPr>
          <w:ilvl w:val="0"/>
          <w:numId w:val="1017"/>
        </w:numPr>
        <w:pStyle w:val="Compact"/>
      </w:pPr>
      <w:r>
        <w:rPr>
          <w:bCs/>
          <w:b/>
        </w:rPr>
        <w:t xml:space="preserve">Manufacturing (10.20%):</w:t>
      </w:r>
      <w:r>
        <w:t xml:space="preserve"> </w:t>
      </w:r>
      <w:r>
        <w:t xml:space="preserve">Electricity consumption during the production process, particularly from the Chinese grid mix, contributes a notable portion despite 50% renewable energy usage.</w:t>
      </w:r>
    </w:p>
    <w:p>
      <w:r>
        <w:pict>
          <v:rect style="width:0;height:1.5pt" o:hralign="center" o:hrstd="t" o:hr="t"/>
        </w:pict>
      </w:r>
    </w:p>
    <w:bookmarkEnd w:id="51"/>
    <w:bookmarkEnd w:id="52"/>
    <w:bookmarkStart w:id="53" w:name="recommendations-opportunities"/>
    <w:p>
      <w:pPr>
        <w:pStyle w:val="Heading2"/>
      </w:pPr>
      <w:r>
        <w:t xml:space="preserve">4. Recommendations &amp; Opportunities</w:t>
      </w:r>
    </w:p>
    <w:p>
      <w:pPr>
        <w:pStyle w:val="FirstParagraph"/>
      </w:pPr>
      <w:r>
        <w:t xml:space="preserve">Based on the identified hotspots, jlesmjhlhk has significant opportunities to reduce the PCF of fiznltruxq:</w:t>
      </w:r>
    </w:p>
    <w:p>
      <w:pPr>
        <w:numPr>
          <w:ilvl w:val="0"/>
          <w:numId w:val="1018"/>
        </w:numPr>
        <w:pStyle w:val="Compact"/>
      </w:pPr>
      <w:r>
        <w:rPr>
          <w:bCs/>
          <w:b/>
        </w:rPr>
        <w:t xml:space="preserve">Use Phase Optimization:</w:t>
      </w:r>
    </w:p>
    <w:p>
      <w:pPr>
        <w:numPr>
          <w:ilvl w:val="1"/>
          <w:numId w:val="1019"/>
        </w:numPr>
        <w:pStyle w:val="Compact"/>
      </w:pPr>
      <w:r>
        <w:t xml:space="preserve">Improve product energy efficiency to reduce electricity consumption during operation.</w:t>
      </w:r>
    </w:p>
    <w:p>
      <w:pPr>
        <w:numPr>
          <w:ilvl w:val="1"/>
          <w:numId w:val="1019"/>
        </w:numPr>
        <w:pStyle w:val="Compact"/>
      </w:pPr>
      <w:r>
        <w:t xml:space="preserve">Explore lower power modes, longer battery life (if applicable), or energy-saving features.</w:t>
      </w:r>
    </w:p>
    <w:p>
      <w:pPr>
        <w:numPr>
          <w:ilvl w:val="1"/>
          <w:numId w:val="1019"/>
        </w:numPr>
        <w:pStyle w:val="Compact"/>
      </w:pPr>
      <w:r>
        <w:t xml:space="preserve">Educate consumers on energy-efficient usage and proper maintenance to extend product lifespan and optimize energy consumption.</w:t>
      </w:r>
    </w:p>
    <w:p>
      <w:pPr>
        <w:numPr>
          <w:ilvl w:val="0"/>
          <w:numId w:val="1018"/>
        </w:numPr>
        <w:pStyle w:val="Compact"/>
      </w:pPr>
      <w:r>
        <w:rPr>
          <w:bCs/>
          <w:b/>
        </w:rPr>
        <w:t xml:space="preserve">Sustainable Material Sourcing:</w:t>
      </w:r>
    </w:p>
    <w:p>
      <w:pPr>
        <w:numPr>
          <w:ilvl w:val="1"/>
          <w:numId w:val="1020"/>
        </w:numPr>
        <w:pStyle w:val="Compact"/>
      </w:pPr>
      <w:r>
        <w:t xml:space="preserve">Investigate suppliers offering lower-carbon aluminum (e.g., from hydropower-intensive regions or using high recycled content).</w:t>
      </w:r>
    </w:p>
    <w:p>
      <w:pPr>
        <w:numPr>
          <w:ilvl w:val="1"/>
          <w:numId w:val="1020"/>
        </w:numPr>
        <w:pStyle w:val="Compact"/>
      </w:pPr>
      <w:r>
        <w:t xml:space="preserve">Work with electronics component suppliers to understand and reduce their manufacturing footprints.</w:t>
      </w:r>
    </w:p>
    <w:p>
      <w:pPr>
        <w:numPr>
          <w:ilvl w:val="1"/>
          <w:numId w:val="1020"/>
        </w:numPr>
        <w:pStyle w:val="Compact"/>
      </w:pPr>
      <w:r>
        <w:t xml:space="preserve">Increase the use of recycled content in plastic enclosures and packaging where feasible, ensuring it demonstrably reduces emissions.</w:t>
      </w:r>
    </w:p>
    <w:p>
      <w:pPr>
        <w:numPr>
          <w:ilvl w:val="0"/>
          <w:numId w:val="1018"/>
        </w:numPr>
        <w:pStyle w:val="Compact"/>
      </w:pPr>
      <w:r>
        <w:rPr>
          <w:bCs/>
          <w:b/>
        </w:rPr>
        <w:t xml:space="preserve">Renewable Energy Expansion:</w:t>
      </w:r>
    </w:p>
    <w:p>
      <w:pPr>
        <w:numPr>
          <w:ilvl w:val="1"/>
          <w:numId w:val="1021"/>
        </w:numPr>
        <w:pStyle w:val="Compact"/>
      </w:pPr>
      <w:r>
        <w:t xml:space="preserve">Increase the percentage of renewable energy used in jlesmjhlhk\'s manufacturing facilities beyond the current pyrwevjgnh (50%). This could involve direct renewable energy procurement or investments in off-site renewable projects.</w:t>
      </w:r>
    </w:p>
    <w:p>
      <w:pPr>
        <w:numPr>
          <w:ilvl w:val="0"/>
          <w:numId w:val="1018"/>
        </w:numPr>
        <w:pStyle w:val="Compact"/>
      </w:pPr>
      <w:r>
        <w:rPr>
          <w:bCs/>
          <w:b/>
        </w:rPr>
        <w:t xml:space="preserve">Circular Economy Initiatives:</w:t>
      </w:r>
    </w:p>
    <w:p>
      <w:pPr>
        <w:numPr>
          <w:ilvl w:val="1"/>
          <w:numId w:val="1022"/>
        </w:numPr>
        <w:pStyle w:val="Compact"/>
      </w:pPr>
      <w:r>
        <w:t xml:space="preserve">Leverage the "Active, product-specific take-back program" (fxsqhhkdsg) to maximize the collection and high-value recycling of fiznltruxq at its end-of-life.</w:t>
      </w:r>
    </w:p>
    <w:p>
      <w:pPr>
        <w:numPr>
          <w:ilvl w:val="1"/>
          <w:numId w:val="1022"/>
        </w:numPr>
        <w:pStyle w:val="Compact"/>
      </w:pPr>
      <w:r>
        <w:t xml:space="preserve">Explore design for disassembly and modularity to facilitate repair, refurbishment, and component reuse, further extending product lifespan and reducing demand for virgin materials.</w:t>
      </w:r>
    </w:p>
    <w:p>
      <w:pPr>
        <w:numPr>
          <w:ilvl w:val="1"/>
          <w:numId w:val="1022"/>
        </w:numPr>
        <w:pStyle w:val="Compact"/>
      </w:pPr>
      <w:r>
        <w:t xml:space="preserve">Investigate closed-loop recycling systems for key materials like plastics and metals.</w:t>
      </w:r>
    </w:p>
    <w:p>
      <w:pPr>
        <w:numPr>
          <w:ilvl w:val="0"/>
          <w:numId w:val="1018"/>
        </w:numPr>
        <w:pStyle w:val="Compact"/>
      </w:pPr>
      <w:r>
        <w:rPr>
          <w:bCs/>
          <w:b/>
        </w:rPr>
        <w:t xml:space="preserve">Logistics Optimization:</w:t>
      </w:r>
    </w:p>
    <w:p>
      <w:pPr>
        <w:numPr>
          <w:ilvl w:val="1"/>
          <w:numId w:val="1023"/>
        </w:numPr>
        <w:pStyle w:val="Compact"/>
      </w:pPr>
      <w:r>
        <w:t xml:space="preserve">Continuously optimize transport routes, modes, and load factors to reduce fuel consumption and associated emissions.</w:t>
      </w:r>
    </w:p>
    <w:p>
      <w:pPr>
        <w:numPr>
          <w:ilvl w:val="1"/>
          <w:numId w:val="1023"/>
        </w:numPr>
        <w:pStyle w:val="Compact"/>
      </w:pPr>
      <w:r>
        <w:t xml:space="preserve">Evaluate shifting more freight from air to sea where time permits, as sea freight is significantly less emissive per tonne-km.</w:t>
      </w:r>
    </w:p>
    <w:p>
      <w:r>
        <w:pict>
          <v:rect style="width:0;height:1.5pt" o:hralign="center" o:hrstd="t" o:hr="t"/>
        </w:pict>
      </w:r>
    </w:p>
    <w:bookmarkEnd w:id="53"/>
    <w:bookmarkStart w:id="54" w:name="disclaimer"/>
    <w:p>
      <w:pPr>
        <w:pStyle w:val="Heading2"/>
      </w:pPr>
      <w:r>
        <w:t xml:space="preserve">5. Disclaimer</w:t>
      </w:r>
    </w:p>
    <w:p>
      <w:pPr>
        <w:pStyle w:val="FirstParagraph"/>
      </w:pPr>
      <w:r>
        <w:t xml:space="preserve">This Product Carbon Footprint analysis is based on the data and parameters provided by jlesmjhlhk and supplemented with publicly available industry-average emission factors. While every effort has been made to ensure the accuracy and completeness of this report, it represents an estimate of the product\'s environmental impact. Actual emissions may vary due to differences in real-world operational efficiencies, supply chain specifics, and evolving energy grids. This report is intended for internal strategic planning and sustainability reporting purposes for jlesmjhlhk and should not be used as a standalone claim without further verification.</w:t>
      </w:r>
    </w:p>
    <w:bookmarkEnd w:id="54"/>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fiznltruxq</dc:title>
  <dc:creator/>
  <dc:description>Detailed Product Carbon Footprint (PCF) analysis report for fiznltruxq, performed by Senior Sustainability Consultant ufmpdjtgku for jlesmjhlhk, adhering to GHG Protocol standards and 2026 updates.</dc:description>
  <dc:language>en</dc:language>
  <cp:keywords/>
  <dcterms:created xsi:type="dcterms:W3CDTF">2026-07-15T05:35:24Z</dcterms:created>
  <dcterms:modified xsi:type="dcterms:W3CDTF">2026-07-15T05:35:24Z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