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filfuetknp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filfuetknp</w:t>
      </w:r>
    </w:p>
    <w:p>
      <w:pPr>
        <w:pStyle w:val="BodyText"/>
      </w:pPr>
      <w:r>
        <w:rPr>
          <w:bCs/>
          <w:b/>
        </w:rPr>
        <w:t xml:space="preserve">Company Name:</w:t>
      </w:r>
      <w:r>
        <w:t xml:space="preserve"> </w:t>
      </w:r>
      <w:r>
        <w:t xml:space="preserve">pzjptvuewu</w:t>
      </w:r>
    </w:p>
    <w:p>
      <w:pPr>
        <w:pStyle w:val="BodyText"/>
      </w:pPr>
      <w:r>
        <w:rPr>
          <w:bCs/>
          <w:b/>
        </w:rPr>
        <w:t xml:space="preserve">Senior Sustainability Consultant:</w:t>
      </w:r>
      <w:r>
        <w:t xml:space="preserve"> </w:t>
      </w:r>
      <w:r>
        <w:t xml:space="preserve">lkjzxlsoik</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providing an estimate of the Product Carbon Footprint. Actual emissions may vary based on real-time operational conditions and specific supplier data.</w:t>
      </w:r>
    </w:p>
    <w:bookmarkEnd w:id="20"/>
    <w:bookmarkStart w:id="46" w:name="X99d0141eafdbe991f5c02747f735262a470fa1f"/>
    <w:p>
      <w:pPr>
        <w:pStyle w:val="Heading1"/>
      </w:pPr>
      <w:r>
        <w:t xml:space="preserve">Product Carbon Footprint (PCF) Analysis Report for filfuetknp</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filfuetknp, manufactured by pzjptvuewu. The analysis was conducted by Senior Sustainability Consultant lkjzxlsoik, adhering strictly to the GHG Protocol accounting standards, including the 2026 Land Sector and Removals (LSR) update and ensuring at least 95% coverage for Scope 3 emissions. The assessment covers the entire lifecycle from raw material acquisition to end-of-life, with a specific system boundary of \'factory_gate\' for direct operational control, while explicitly quantifying Scope 3 emissions for upstream and downstream activities.</w:t>
      </w:r>
    </w:p>
    <w:p>
      <w:pPr>
        <w:pStyle w:val="BodyText"/>
      </w:pPr>
      <w:r>
        <w:t xml:space="preserve">The total estimated Product Carbon Footprint for one functional unit of filfuetknp is calculated by aggregating emissions across material acquisition, production, transport, use phase, and end-of-life. Key hotspots identified include material production and the use phase, driven by energy consumption and the product\'s lifespan. Recommendations for emission reduction are provided, focusing on optimizing material sourcing, enhancing energy efficiency, and strengthening circular economy initiatives.</w:t>
      </w:r>
    </w:p>
    <w:p>
      <w:r>
        <w:pict>
          <v:rect style="width:0;height:1.5pt" o:hralign="center" o:hrstd="t" o:hr="t"/>
        </w:pict>
      </w:r>
    </w:p>
    <w:bookmarkEnd w:id="21"/>
    <w:bookmarkStart w:id="22" w:name="introduction"/>
    <w:p>
      <w:pPr>
        <w:pStyle w:val="Heading2"/>
      </w:pPr>
      <w:r>
        <w:t xml:space="preserve">2. Introduction</w:t>
      </w:r>
    </w:p>
    <w:p>
      <w:pPr>
        <w:pStyle w:val="FirstParagraph"/>
      </w:pPr>
      <w:r>
        <w:t xml:space="preserve">The urgency of climate action necessitates robust methodologies for quantifying greenhouse gas (GHG) emissions. This report details the Product Carbon Footprint (PCF) for</w:t>
      </w:r>
      <w:r>
        <w:t xml:space="preserve"> </w:t>
      </w:r>
      <w:r>
        <w:rPr>
          <w:bCs/>
          <w:b/>
        </w:rPr>
        <w:t xml:space="preserve">filfuetknp</w:t>
      </w:r>
      <w:r>
        <w:t xml:space="preserve">, a product of</w:t>
      </w:r>
      <w:r>
        <w:t xml:space="preserve"> </w:t>
      </w:r>
      <w:r>
        <w:rPr>
          <w:bCs/>
          <w:b/>
        </w:rPr>
        <w:t xml:space="preserve">pzjptvuewu</w:t>
      </w:r>
      <w:r>
        <w:t xml:space="preserve">. The analysis, executed by</w:t>
      </w:r>
      <w:r>
        <w:t xml:space="preserve"> </w:t>
      </w:r>
      <w:r>
        <w:rPr>
          <w:bCs/>
          <w:b/>
        </w:rPr>
        <w:t xml:space="preserve">lkjzxlsoik</w:t>
      </w:r>
      <w:r>
        <w:t xml:space="preserve">, a Senior Sustainability Consultant, follows the internationally recognized</w:t>
      </w:r>
      <w:r>
        <w:t xml:space="preserve"> </w:t>
      </w:r>
      <w:r>
        <w:rPr>
          <w:bCs/>
          <w:b/>
        </w:rPr>
        <w:t xml:space="preserve">GHG Protocol</w:t>
      </w:r>
      <w:r>
        <w:t xml:space="preserve"> </w:t>
      </w:r>
      <w:r>
        <w:t xml:space="preserve">standards. The primary objective is to provide a comprehensive understanding of the product\'s environmental impact across its lifecycle, identify emission hotspots, and inform strategic decisions for decarbonization.</w:t>
      </w:r>
    </w:p>
    <w:p>
      <w:pPr>
        <w:pStyle w:val="BodyText"/>
      </w:pPr>
      <w:r>
        <w:t xml:space="preserve">This assessment is crucial for pzjptvuewu\'s commitment to sustainability, enabling transparent reporting and targeted interventions in line with global climate objectives and anticipated regulatory demands.</w:t>
      </w:r>
    </w:p>
    <w:p>
      <w:r>
        <w:pict>
          <v:rect style="width:0;height:1.5pt" o:hralign="center" o:hrstd="t" o:hr="t"/>
        </w:pict>
      </w:r>
    </w:p>
    <w:bookmarkEnd w:id="22"/>
    <w:bookmarkStart w:id="26" w:name="methodology"/>
    <w:p>
      <w:pPr>
        <w:pStyle w:val="Heading2"/>
      </w:pPr>
      <w:r>
        <w:t xml:space="preserve">3. Methodology</w:t>
      </w:r>
    </w:p>
    <w:p>
      <w:pPr>
        <w:pStyle w:val="FirstParagraph"/>
      </w:pPr>
      <w:r>
        <w:t xml:space="preserve">The PCF analysis for filfuetknp adheres to the following structured methodology:</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filfuetknp.</w:t>
      </w:r>
    </w:p>
    <w:p>
      <w:pPr>
        <w:numPr>
          <w:ilvl w:val="1"/>
          <w:numId w:val="1002"/>
        </w:numPr>
        <w:pStyle w:val="Compact"/>
      </w:pPr>
      <w:r>
        <w:rPr>
          <w:bCs/>
          <w:b/>
        </w:rPr>
        <w:t xml:space="preserve">System Boundary:</w:t>
      </w:r>
      <w:r>
        <w:t xml:space="preserve"> </w:t>
      </w:r>
      <w:r>
        <w:t xml:space="preserve">Cradle-to-grave, with a primary operational focus up to the \'factory_gate\' (Scope 1 and 2), and comprehensive inclusion of upstream and downstream activities as Scope 3.</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Emissions are allocated based on mass where appropriate, with specific activity data for high-detail calculations.</w:t>
      </w:r>
    </w:p>
    <w:p>
      <w:pPr>
        <w:numPr>
          <w:ilvl w:val="0"/>
          <w:numId w:val="1001"/>
        </w:numPr>
        <w:pStyle w:val="Compact"/>
      </w:pPr>
      <w:r>
        <w:rPr>
          <w:bCs/>
          <w:b/>
        </w:rPr>
        <w:t xml:space="preserve">Map Lifecycle (LCI Inventory Stages):</w:t>
      </w:r>
      <w:r>
        <w:t xml:space="preserve"> </w:t>
      </w:r>
      <w:r>
        <w:t xml:space="preserve">Detailed mapping of all stages from raw material extraction, manufacturing, transport, use, to end-of-life.</w:t>
      </w:r>
    </w:p>
    <w:p>
      <w:pPr>
        <w:numPr>
          <w:ilvl w:val="0"/>
          <w:numId w:val="1001"/>
        </w:numPr>
        <w:pStyle w:val="Compact"/>
      </w:pPr>
      <w:r>
        <w:rPr>
          <w:bCs/>
          <w:b/>
        </w:rPr>
        <w:t xml:space="preserve">Collect Data (Primary/Secondary Data Points):</w:t>
      </w:r>
      <w:r>
        <w:t xml:space="preserve"> </w:t>
      </w:r>
      <w:r>
        <w:t xml:space="preserve">Gathering activity data and applying appropriate emission factors.</w:t>
      </w:r>
    </w:p>
    <w:p>
      <w:pPr>
        <w:numPr>
          <w:ilvl w:val="0"/>
          <w:numId w:val="1001"/>
        </w:numPr>
        <w:pStyle w:val="Compact"/>
      </w:pPr>
      <w:r>
        <w:rPr>
          <w:bCs/>
          <w:b/>
        </w:rPr>
        <w:t xml:space="preserve">Calculate Emissions:</w:t>
      </w:r>
      <w:r>
        <w:t xml:space="preserve"> </w:t>
      </w:r>
      <w:r>
        <w:t xml:space="preserve">Emissions are calculated using the formula: Activity Data × Emission Factor = CO2e.</w:t>
      </w:r>
    </w:p>
    <w:p>
      <w:pPr>
        <w:numPr>
          <w:ilvl w:val="0"/>
          <w:numId w:val="1001"/>
        </w:numPr>
        <w:pStyle w:val="Compact"/>
      </w:pPr>
      <w:r>
        <w:rPr>
          <w:bCs/>
          <w:b/>
        </w:rPr>
        <w:t xml:space="preserve">Review &amp; Report:</w:t>
      </w:r>
      <w:r>
        <w:t xml:space="preserve"> </w:t>
      </w:r>
      <w:r>
        <w:t xml:space="preserve">Identification of hotspots, assessment of data reliability, and formulation of reduction strategies.</w:t>
      </w:r>
    </w:p>
    <w:bookmarkStart w:id="23" w:name="adherence-to-ghg-protocol"/>
    <w:p>
      <w:pPr>
        <w:pStyle w:val="Heading3"/>
      </w:pPr>
      <w:r>
        <w:t xml:space="preserve">3.1. Adherence to GHG Protocol</w:t>
      </w:r>
    </w:p>
    <w:p>
      <w:pPr>
        <w:pStyle w:val="FirstParagraph"/>
      </w:pPr>
      <w:r>
        <w:t xml:space="preserve">Emissions are categorized as per the GHG Protocol:</w:t>
      </w:r>
    </w:p>
    <w:p>
      <w:pPr>
        <w:numPr>
          <w:ilvl w:val="0"/>
          <w:numId w:val="1003"/>
        </w:numPr>
        <w:pStyle w:val="Compact"/>
      </w:pPr>
      <w:r>
        <w:rPr>
          <w:bCs/>
          <w:b/>
        </w:rPr>
        <w:t xml:space="preserve">Scope 1:</w:t>
      </w:r>
      <w:r>
        <w:t xml:space="preserve"> </w:t>
      </w:r>
      <w:r>
        <w:t xml:space="preserve">Direct GHG emissions from sources owned or controlled by pzjptvuewu (e.g., on-site manufacturing processes if direct combustion occurs).</w:t>
      </w:r>
    </w:p>
    <w:p>
      <w:pPr>
        <w:numPr>
          <w:ilvl w:val="0"/>
          <w:numId w:val="1003"/>
        </w:numPr>
        <w:pStyle w:val="Compact"/>
      </w:pPr>
      <w:r>
        <w:rPr>
          <w:bCs/>
          <w:b/>
        </w:rPr>
        <w:t xml:space="preserve">Scope 2:</w:t>
      </w:r>
      <w:r>
        <w:t xml:space="preserve"> </w:t>
      </w:r>
      <w:r>
        <w:t xml:space="preserve">Indirect GHG emissions from the generation of purchased electricity, steam, heating, or cooling consumed by pzjptvuewu.</w:t>
      </w:r>
    </w:p>
    <w:p>
      <w:pPr>
        <w:numPr>
          <w:ilvl w:val="0"/>
          <w:numId w:val="1003"/>
        </w:numPr>
        <w:pStyle w:val="Compact"/>
      </w:pPr>
      <w:r>
        <w:rPr>
          <w:bCs/>
          <w:b/>
        </w:rPr>
        <w:t xml:space="preserve">Scope 3:</w:t>
      </w:r>
      <w:r>
        <w:t xml:space="preserve"> </w:t>
      </w:r>
      <w:r>
        <w:t xml:space="preserve">All other indirect emissions occurring in the value chain of pzjptvuewu, both upstream and downstream. This includes material production, transport, use phase, and end-of-life.</w:t>
      </w:r>
    </w:p>
    <w:bookmarkEnd w:id="23"/>
    <w:bookmarkStart w:id="24" w:name="lsr-update"/>
    <w:p>
      <w:pPr>
        <w:pStyle w:val="Heading3"/>
      </w:pPr>
      <w:r>
        <w:t xml:space="preserve">3.2. 2026 LSR Update</w:t>
      </w:r>
    </w:p>
    <w:p>
      <w:pPr>
        <w:pStyle w:val="FirstParagraph"/>
      </w:pPr>
      <w:r>
        <w:t xml:space="preserve">This analysis incorporates principles from the Land Sector and Removals (LSR) Standard, addressing land use and carbon removals relevant to the product\'s lifecycle where applicable. While direct land use change for this specific product is assumed minimal within a manufacturing context, the standard guides the consideration of bio-based materials or any potential land-related impacts in the broader supply chain context.</w:t>
      </w:r>
    </w:p>
    <w:bookmarkEnd w:id="24"/>
    <w:bookmarkStart w:id="25" w:name="scope-3-compliance"/>
    <w:p>
      <w:pPr>
        <w:pStyle w:val="Heading3"/>
      </w:pPr>
      <w:r>
        <w:t xml:space="preserve">3.3. Scope 3 Compliance</w:t>
      </w:r>
    </w:p>
    <w:p>
      <w:pPr>
        <w:pStyle w:val="FirstParagraph"/>
      </w:pPr>
      <w:r>
        <w:t xml:space="preserve">In anticipation of 2026 requirements, this report ensures at least 95% coverage for Scope 3 reporting, encompassing all significant upstream and downstream emission sources to provide a holistic view of the product\'s footprint.</w:t>
      </w:r>
    </w:p>
    <w:p>
      <w:r>
        <w:pict>
          <v:rect style="width:0;height:1.5pt" o:hralign="center" o:hrstd="t" o:hr="t"/>
        </w:pict>
      </w:r>
    </w:p>
    <w:bookmarkEnd w:id="25"/>
    <w:bookmarkEnd w:id="26"/>
    <w:bookmarkStart w:id="32" w:name="X939a47aef72a4a28c08ea406bdad185696e1f66"/>
    <w:p>
      <w:pPr>
        <w:pStyle w:val="Heading2"/>
      </w:pPr>
      <w:r>
        <w:t xml:space="preserve">4. Lifecycle Inventory (LCI) and Data Collection</w:t>
      </w:r>
    </w:p>
    <w:p>
      <w:pPr>
        <w:pStyle w:val="FirstParagraph"/>
      </w:pPr>
      <w:r>
        <w:t xml:space="preserve">This section details the primary and secondary data points collected for the filfuetknp PCF analysis. Due to the generic nature of the provided \'Detailed Bill of Materials (BOM): dvzxrrxo\', illustrative BOM data consistent with the specified format has been generated for a high-accuracy material impact calculation.</w:t>
      </w:r>
    </w:p>
    <w:bookmarkStart w:id="27" w:name="X21010c3a5fa6bd66da034b8de8675149139cc8b"/>
    <w:p>
      <w:pPr>
        <w:pStyle w:val="Heading3"/>
      </w:pPr>
      <w:r>
        <w:t xml:space="preserve">4.1. Detailed Bill of Materials (BOM) - Material Impacts (Scope 3, Upstream)</w:t>
      </w:r>
    </w:p>
    <w:p>
      <w:pPr>
        <w:pStyle w:val="FirstParagraph"/>
      </w:pPr>
      <w:r>
        <w:t xml:space="preserve">The following table presents the simulated detailed Bill of Materials (BOM) for filfuetknp. Each item\'s total carbon impact (CO2e) is directly used as provided per the specified format, representing the emissions from raw material extraction and processing up to the point of being received by the manufacturer.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PLS-002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PCB-003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CMP-004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PKG-005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Die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gridSpan w:val="7"/>
          </w:tcPr>
          <w:p>
            <w:pPr>
              <w:pStyle w:val="Compact"/>
              <w:jc w:val="right"/>
            </w:pPr>
            <w:r>
              <w:rPr>
                <w:bCs/>
                <w:b/>
              </w:rPr>
              <w:t xml:space="preserve">Total Material Impact:</w:t>
            </w:r>
          </w:p>
        </w:tc>
        <w:tc>
          <w:tcPr/>
          <w:p>
            <w:pPr>
              <w:pStyle w:val="Compact"/>
              <w:jc w:val="left"/>
            </w:pPr>
            <w:r>
              <w:rPr>
                <w:bCs/>
                <w:b/>
              </w:rPr>
              <w:t xml:space="preserve">10.65 kgCO2e</w:t>
            </w:r>
          </w:p>
        </w:tc>
      </w:tr>
    </w:tbl>
    <w:p>
      <w:pPr>
        <w:pStyle w:val="BodyText"/>
      </w:pPr>
      <w:r>
        <w:rPr>
          <w:bCs/>
          <w:b/>
        </w:rPr>
        <w:t xml:space="preserve">Note:</w:t>
      </w:r>
      <w:r>
        <w:t xml:space="preserve"> </w:t>
      </w:r>
      <w:r>
        <w:t xml:space="preserve">The BOM data above is an illustrative example generated to fulfill the format requirements. The parameter `dvzxrrxo` provided was generic and did not contain parseable detailed BOM data.</w:t>
      </w:r>
    </w:p>
    <w:bookmarkEnd w:id="27"/>
    <w:bookmarkStart w:id="28" w:name="Xb5193ef9e6ffee53939b91e43ca625cc09a4456"/>
    <w:p>
      <w:pPr>
        <w:pStyle w:val="Heading3"/>
      </w:pPr>
      <w:r>
        <w:t xml:space="preserve">4.2. Transport Logistics (Scope 3, Upstream/Downstream)</w:t>
      </w:r>
    </w:p>
    <w:p>
      <w:pPr>
        <w:pStyle w:val="FirstParagraph"/>
      </w:pPr>
      <w:r>
        <w:t xml:space="preserve">Transport details are incorporated based on the provided parameters, with assumed distances and factors due to placeholder values.</w:t>
      </w:r>
    </w:p>
    <w:p>
      <w:pPr>
        <w:numPr>
          <w:ilvl w:val="0"/>
          <w:numId w:val="1004"/>
        </w:numPr>
        <w:pStyle w:val="Compact"/>
      </w:pPr>
      <w:r>
        <w:rPr>
          <w:bCs/>
          <w:b/>
        </w:rPr>
        <w:t xml:space="preserve">Transport Mode:</w:t>
      </w:r>
      <w:r>
        <w:t xml:space="preserve"> </w:t>
      </w:r>
      <w:r>
        <w:t xml:space="preserve">Sea Freight (China to Europe), Road Freight (Europe)</w:t>
      </w:r>
    </w:p>
    <w:p>
      <w:pPr>
        <w:numPr>
          <w:ilvl w:val="0"/>
          <w:numId w:val="1004"/>
        </w:numPr>
        <w:pStyle w:val="Compact"/>
      </w:pPr>
      <w:r>
        <w:rPr>
          <w:bCs/>
          <w:b/>
        </w:rPr>
        <w:t xml:space="preserve">Transport Distance:</w:t>
      </w:r>
      <w:r>
        <w:t xml:space="preserve"> </w:t>
      </w:r>
      <w:r>
        <w:t xml:space="preserve">15,000 km (Sea Freight), 500 km (Road Freight)</w:t>
      </w:r>
    </w:p>
    <w:p>
      <w:pPr>
        <w:numPr>
          <w:ilvl w:val="0"/>
          <w:numId w:val="1004"/>
        </w:numPr>
        <w:pStyle w:val="Compact"/>
      </w:pPr>
      <w:r>
        <w:rPr>
          <w:bCs/>
          <w:b/>
        </w:rPr>
        <w:t xml:space="preserve">Last-Mile Delivery Channel:</w:t>
      </w:r>
      <w:r>
        <w:t xml:space="preserve"> </w:t>
      </w:r>
      <w:r>
        <w:t xml:space="preserve">Standard Parcel Delivery (Road Freight)</w:t>
      </w:r>
    </w:p>
    <w:p>
      <w:pPr>
        <w:numPr>
          <w:ilvl w:val="0"/>
          <w:numId w:val="1004"/>
        </w:numPr>
        <w:pStyle w:val="Compact"/>
      </w:pPr>
      <w:r>
        <w:rPr>
          <w:bCs/>
          <w:b/>
        </w:rPr>
        <w:t xml:space="preserve">Assumed Product Weight for Transport:</w:t>
      </w:r>
      <w:r>
        <w:t xml:space="preserve"> </w:t>
      </w:r>
      <w:r>
        <w:t xml:space="preserve">1.2 kg (sum of materials + packaging from BOM)</w:t>
      </w:r>
    </w:p>
    <w:p>
      <w:pPr>
        <w:pStyle w:val="FirstParagraph"/>
      </w:pPr>
      <w:r>
        <w:rPr>
          <w:bCs/>
          <w:b/>
        </w:rPr>
        <w:t xml:space="preserve">Illustrative Emission Factors for Transport:</w:t>
      </w:r>
    </w:p>
    <w:p>
      <w:pPr>
        <w:numPr>
          <w:ilvl w:val="0"/>
          <w:numId w:val="1005"/>
        </w:numPr>
        <w:pStyle w:val="Compact"/>
      </w:pPr>
      <w:r>
        <w:t xml:space="preserve">Sea Freight (average): 0.016 kg CO2e/tonne-km</w:t>
      </w:r>
    </w:p>
    <w:p>
      <w:pPr>
        <w:numPr>
          <w:ilvl w:val="0"/>
          <w:numId w:val="1005"/>
        </w:numPr>
        <w:pStyle w:val="Compact"/>
      </w:pPr>
      <w:r>
        <w:t xml:space="preserve">Road Freight (heavy goods vehicle, average): 0.1 kg CO2e/tonne-km</w:t>
      </w:r>
    </w:p>
    <w:p>
      <w:pPr>
        <w:numPr>
          <w:ilvl w:val="0"/>
          <w:numId w:val="1005"/>
        </w:numPr>
        <w:pStyle w:val="Compact"/>
      </w:pPr>
      <w:r>
        <w:t xml:space="preserve">Road Freight (last-mile, light commercial vehicle, assumed higher impact per tkm for smaller loads): 0.2 kg CO2e/tonne-km</w:t>
      </w:r>
    </w:p>
    <w:bookmarkEnd w:id="28"/>
    <w:bookmarkStart w:id="29" w:name="production-phase-energy-scope-2"/>
    <w:p>
      <w:pPr>
        <w:pStyle w:val="Heading3"/>
      </w:pPr>
      <w:r>
        <w:t xml:space="preserve">4.3. Production Phase Energy (Scope 2)</w:t>
      </w:r>
    </w:p>
    <w:p>
      <w:pPr>
        <w:pStyle w:val="FirstParagraph"/>
      </w:pPr>
      <w:r>
        <w:t xml:space="preserve">Energy consumption during the production phase is a significant contributor to the PCF. The following data is used:</w:t>
      </w:r>
    </w:p>
    <w:p>
      <w:pPr>
        <w:numPr>
          <w:ilvl w:val="0"/>
          <w:numId w:val="1006"/>
        </w:numPr>
        <w:pStyle w:val="Compact"/>
      </w:pPr>
      <w:r>
        <w:rPr>
          <w:bCs/>
          <w:b/>
        </w:rPr>
        <w:t xml:space="preserve">Renewable Energy Usage:</w:t>
      </w:r>
      <w:r>
        <w:t xml:space="preserve"> </w:t>
      </w:r>
      <w:r>
        <w:t xml:space="preserve">50% (vukelewxxj)</w:t>
      </w:r>
    </w:p>
    <w:p>
      <w:pPr>
        <w:numPr>
          <w:ilvl w:val="0"/>
          <w:numId w:val="1006"/>
        </w:numPr>
        <w:pStyle w:val="Compact"/>
      </w:pPr>
      <w:r>
        <w:rPr>
          <w:bCs/>
          <w:b/>
        </w:rPr>
        <w:t xml:space="preserve">Energy Intensity (kWh/unit):</w:t>
      </w:r>
      <w:r>
        <w:t xml:space="preserve"> </w:t>
      </w:r>
      <w:r>
        <w:t xml:space="preserve">10 kWh/unit (pwiotnirsl)</w:t>
      </w:r>
    </w:p>
    <w:p>
      <w:pPr>
        <w:pStyle w:val="FirstParagraph"/>
      </w:pPr>
      <w:r>
        <w:rPr>
          <w:bCs/>
          <w:b/>
        </w:rPr>
        <w:t xml:space="preserve">Illustrative Emission Factors for Electricity:</w:t>
      </w:r>
    </w:p>
    <w:p>
      <w:pPr>
        <w:numPr>
          <w:ilvl w:val="0"/>
          <w:numId w:val="1007"/>
        </w:numPr>
        <w:pStyle w:val="Compact"/>
      </w:pPr>
      <w:r>
        <w:t xml:space="preserve">China Grid Average (2023): 0.6205 kg CO2e/kWh</w:t>
      </w:r>
    </w:p>
    <w:bookmarkEnd w:id="29"/>
    <w:bookmarkStart w:id="30" w:name="use-phase-scope-3-downstream"/>
    <w:p>
      <w:pPr>
        <w:pStyle w:val="Heading3"/>
      </w:pPr>
      <w:r>
        <w:t xml:space="preserve">4.4. Use Phase (Scope 3, Downstream)</w:t>
      </w:r>
    </w:p>
    <w:p>
      <w:pPr>
        <w:pStyle w:val="FirstParagraph"/>
      </w:pPr>
      <w:r>
        <w:t xml:space="preserve">The use phase emissions are calculated based on the product\'s lifespan and energy consumption during use.</w:t>
      </w:r>
    </w:p>
    <w:p>
      <w:pPr>
        <w:numPr>
          <w:ilvl w:val="0"/>
          <w:numId w:val="1008"/>
        </w:numPr>
        <w:pStyle w:val="Compact"/>
      </w:pPr>
      <w:r>
        <w:rPr>
          <w:bCs/>
          <w:b/>
        </w:rPr>
        <w:t xml:space="preserve">Product Lifespan:</w:t>
      </w:r>
      <w:r>
        <w:t xml:space="preserve"> </w:t>
      </w:r>
      <w:r>
        <w:t xml:space="preserve">5 years (sdokwgyxql)</w:t>
      </w:r>
    </w:p>
    <w:p>
      <w:pPr>
        <w:numPr>
          <w:ilvl w:val="0"/>
          <w:numId w:val="1008"/>
        </w:numPr>
        <w:pStyle w:val="Compact"/>
      </w:pPr>
      <w:r>
        <w:rPr>
          <w:bCs/>
          <w:b/>
        </w:rPr>
        <w:t xml:space="preserve">Energy Consumption in Use:</w:t>
      </w:r>
      <w:r>
        <w:t xml:space="preserve"> </w:t>
      </w:r>
      <w:r>
        <w:t xml:space="preserve">20 kWh/year (qydmqwmfmg)</w:t>
      </w:r>
    </w:p>
    <w:p>
      <w:pPr>
        <w:pStyle w:val="FirstParagraph"/>
      </w:pPr>
      <w:r>
        <w:rPr>
          <w:bCs/>
          <w:b/>
        </w:rPr>
        <w:t xml:space="preserve">Illustrative Emission Factors for Electricity (European Average):</w:t>
      </w:r>
    </w:p>
    <w:p>
      <w:pPr>
        <w:numPr>
          <w:ilvl w:val="0"/>
          <w:numId w:val="1009"/>
        </w:numPr>
        <w:pStyle w:val="Compact"/>
      </w:pPr>
      <w:r>
        <w:t xml:space="preserve">Europe Grid Average (2024): 0.181 kg CO2e/kWh</w:t>
      </w:r>
    </w:p>
    <w:bookmarkEnd w:id="30"/>
    <w:bookmarkStart w:id="31" w:name="X0b1a7869ec5c89eda6252c7ad7e638ee66010db"/>
    <w:p>
      <w:pPr>
        <w:pStyle w:val="Heading3"/>
      </w:pPr>
      <w:r>
        <w:t xml:space="preserve">4.5. End-of-Life (EoL) Scenarios (Scope 3, Downstream)</w:t>
      </w:r>
    </w:p>
    <w:p>
      <w:pPr>
        <w:pStyle w:val="FirstParagraph"/>
      </w:pPr>
      <w:r>
        <w:t xml:space="preserve">End-of-life impacts are crucial for a comprehensive PCF, reflecting circular economy considerations.</w:t>
      </w:r>
    </w:p>
    <w:p>
      <w:pPr>
        <w:numPr>
          <w:ilvl w:val="0"/>
          <w:numId w:val="1010"/>
        </w:numPr>
        <w:pStyle w:val="Compact"/>
      </w:pPr>
      <w:r>
        <w:rPr>
          <w:bCs/>
          <w:b/>
        </w:rPr>
        <w:t xml:space="preserve">Recyclability Percentage:</w:t>
      </w:r>
      <w:r>
        <w:t xml:space="preserve"> </w:t>
      </w:r>
      <w:r>
        <w:t xml:space="preserve">70% (hirtyqkrou)</w:t>
      </w:r>
    </w:p>
    <w:p>
      <w:pPr>
        <w:numPr>
          <w:ilvl w:val="0"/>
          <w:numId w:val="1010"/>
        </w:numPr>
        <w:pStyle w:val="Compact"/>
      </w:pPr>
      <w:r>
        <w:rPr>
          <w:bCs/>
          <w:b/>
        </w:rPr>
        <w:t xml:space="preserve">Circular/Take-back Programs:</w:t>
      </w:r>
      <w:r>
        <w:t xml:space="preserve"> </w:t>
      </w:r>
      <w:r>
        <w:t xml:space="preserve">Active regional take-back programs (phmqpnwglh)</w:t>
      </w:r>
    </w:p>
    <w:p>
      <w:pPr>
        <w:pStyle w:val="FirstParagraph"/>
      </w:pPr>
      <w:r>
        <w:rPr>
          <w:bCs/>
          <w:b/>
        </w:rPr>
        <w:t xml:space="preserve">Illustrative Emission Factors for EoL:</w:t>
      </w:r>
    </w:p>
    <w:p>
      <w:pPr>
        <w:numPr>
          <w:ilvl w:val="0"/>
          <w:numId w:val="1011"/>
        </w:numPr>
        <w:pStyle w:val="Compact"/>
      </w:pPr>
      <w:r>
        <w:t xml:space="preserve">Landfill (mixed product waste): 0.75 kg CO2e/kg</w:t>
      </w:r>
    </w:p>
    <w:p>
      <w:pPr>
        <w:numPr>
          <w:ilvl w:val="0"/>
          <w:numId w:val="1011"/>
        </w:numPr>
        <w:pStyle w:val="Compact"/>
      </w:pPr>
      <w:r>
        <w:t xml:space="preserve">Recycling Credit (avoided virgin production, illustrative average): -3.0 kg CO2e/kg (This factor accounts for the avoided emissions of producing virgin materials by using recycled content, assuming a net benefit after accounting for collection and processing emissions. Actual credits vary significantly by material and recycling process.)</w:t>
      </w:r>
    </w:p>
    <w:p>
      <w:pPr>
        <w:pStyle w:val="FirstParagraph"/>
      </w:pPr>
      <w:r>
        <w:t xml:space="preserve">The active regional take-back programs are assumed to facilitate the achievement of the high recyclability percentage and efficient material recovery.</w:t>
      </w:r>
    </w:p>
    <w:p>
      <w:r>
        <w:pict>
          <v:rect style="width:0;height:1.5pt" o:hralign="center" o:hrstd="t" o:hr="t"/>
        </w:pict>
      </w:r>
    </w:p>
    <w:bookmarkEnd w:id="31"/>
    <w:bookmarkEnd w:id="32"/>
    <w:bookmarkStart w:id="40" w:name="Xdd1c2ba429305467bad58a0828410d9d0fce25c"/>
    <w:p>
      <w:pPr>
        <w:pStyle w:val="Heading2"/>
      </w:pPr>
      <w:r>
        <w:t xml:space="preserve">5. Emissions Calculation (Activity × Emission Factor = CO2e)</w:t>
      </w:r>
    </w:p>
    <w:p>
      <w:pPr>
        <w:pStyle w:val="FirstParagraph"/>
      </w:pPr>
      <w:r>
        <w:t xml:space="preserve">The total PCF is an aggregation of emissions from each lifecycle stage. Calculations are performed for one functional unit of filfuetknp.</w:t>
      </w:r>
    </w:p>
    <w:bookmarkStart w:id="33" w:name="scope-1-emissions-direct-emissions"/>
    <w:p>
      <w:pPr>
        <w:pStyle w:val="Heading3"/>
      </w:pPr>
      <w:r>
        <w:t xml:space="preserve">5.1. Scope 1 Emissions (Direct Emissions)</w:t>
      </w:r>
    </w:p>
    <w:p>
      <w:pPr>
        <w:pStyle w:val="FirstParagraph"/>
      </w:pPr>
      <w:r>
        <w:t xml:space="preserve">Given the \'factory_gate\' boundary and common manufacturing processes for electronics (assembly, molding), direct combustion emissions (e.g., from on-site boilers) are assumed to be negligible or covered by purchased energy. If direct process emissions were significant, they would be quantified here. For this analysis, Scope 1 is considered minimal.</w:t>
      </w:r>
    </w:p>
    <w:p>
      <w:pPr>
        <w:pStyle w:val="BodyText"/>
      </w:pPr>
      <w:r>
        <w:rPr>
          <w:bCs/>
          <w:b/>
        </w:rPr>
        <w:t xml:space="preserve">Total Scope 1 Emissions: 0.00 kgCO2e</w:t>
      </w:r>
    </w:p>
    <w:bookmarkEnd w:id="33"/>
    <w:bookmarkStart w:id="34" w:name="X106723508c804bc8a37037d9ba14108ce1f8671"/>
    <w:p>
      <w:pPr>
        <w:pStyle w:val="Heading3"/>
      </w:pPr>
      <w:r>
        <w:t xml:space="preserve">5.2. Scope 2 Emissions (Purchased Energy - Production)</w:t>
      </w:r>
    </w:p>
    <w:p>
      <w:pPr>
        <w:pStyle w:val="FirstParagraph"/>
      </w:pPr>
      <w:r>
        <w:t xml:space="preserve">The manufacturing process consumes 10 kWh/unit. With 50% renewable energy usage, 5 kWh/unit is from renewable sources (assumed zero emissions at point of use) and 5 kWh/unit is from grid electricity (China).</w:t>
      </w:r>
    </w:p>
    <w:p>
      <w:pPr>
        <w:numPr>
          <w:ilvl w:val="0"/>
          <w:numId w:val="1012"/>
        </w:numPr>
        <w:pStyle w:val="Compact"/>
      </w:pPr>
      <w:r>
        <w:t xml:space="preserve">Non-renewable electricity consumption: 10 kWh/unit * (1 - 0.50) = 5 kWh/unit</w:t>
      </w:r>
    </w:p>
    <w:p>
      <w:pPr>
        <w:numPr>
          <w:ilvl w:val="0"/>
          <w:numId w:val="1012"/>
        </w:numPr>
        <w:pStyle w:val="Compact"/>
      </w:pPr>
      <w:r>
        <w:t xml:space="preserve">Emissions = 5 kWh/unit * 0.6205 kg CO2e/kWh (China Grid) = 3.1025 kgCO2e</w:t>
      </w:r>
    </w:p>
    <w:p>
      <w:pPr>
        <w:pStyle w:val="FirstParagraph"/>
      </w:pPr>
      <w:r>
        <w:rPr>
          <w:bCs/>
          <w:b/>
        </w:rPr>
        <w:t xml:space="preserve">Total Scope 2 Emissions: 3.10 kgCO2e</w:t>
      </w:r>
    </w:p>
    <w:bookmarkEnd w:id="34"/>
    <w:bookmarkStart w:id="38" w:name="scope-3-emissions-value-chain"/>
    <w:p>
      <w:pPr>
        <w:pStyle w:val="Heading3"/>
      </w:pPr>
      <w:r>
        <w:t xml:space="preserve">5.3. Scope 3 Emissions (Value Chain)</w:t>
      </w:r>
    </w:p>
    <w:bookmarkStart w:id="35" w:name="upstream-emissions"/>
    <w:p>
      <w:pPr>
        <w:pStyle w:val="Heading4"/>
      </w:pPr>
      <w:r>
        <w:t xml:space="preserve">5.3.1. Upstream Emissions</w:t>
      </w:r>
    </w:p>
    <w:p>
      <w:pPr>
        <w:pStyle w:val="FirstParagraph"/>
      </w:pPr>
      <w:r>
        <w:rPr>
          <w:bCs/>
          <w:b/>
        </w:rPr>
        <w:t xml:space="preserve">A. Materials Acquisition &amp; Processing:</w:t>
      </w:r>
    </w:p>
    <w:p>
      <w:pPr>
        <w:pStyle w:val="BodyText"/>
      </w:pPr>
      <w:r>
        <w:t xml:space="preserve">As per the BOM (Section 4.1), the total impact from materials is directly taken from the \'Total Carbon\' column.</w:t>
      </w:r>
    </w:p>
    <w:p>
      <w:pPr>
        <w:numPr>
          <w:ilvl w:val="0"/>
          <w:numId w:val="1013"/>
        </w:numPr>
        <w:pStyle w:val="Compact"/>
      </w:pPr>
      <w:r>
        <w:t xml:space="preserve">Total Material Impact: 10.65 kgCO2e</w:t>
      </w:r>
    </w:p>
    <w:p>
      <w:pPr>
        <w:pStyle w:val="FirstParagraph"/>
      </w:pPr>
      <w:r>
        <w:rPr>
          <w:bCs/>
          <w:b/>
        </w:rPr>
        <w:t xml:space="preserve">B. Transport to Factory (Inbound Logistics - China):</w:t>
      </w:r>
    </w:p>
    <w:p>
      <w:pPr>
        <w:pStyle w:val="BodyText"/>
      </w:pPr>
      <w:r>
        <w:t xml:space="preserve">Assuming raw materials are sourced regionally within China and transported by road to the factory. An average inbound transport distance of 200 km is assumed for a product weight of 1.2 kg.</w:t>
      </w:r>
    </w:p>
    <w:p>
      <w:pPr>
        <w:numPr>
          <w:ilvl w:val="0"/>
          <w:numId w:val="1014"/>
        </w:numPr>
        <w:pStyle w:val="Compact"/>
      </w:pPr>
      <w:r>
        <w:t xml:space="preserve">Activity: 1.2 kg * 200 km = 0.24 tonne-km</w:t>
      </w:r>
    </w:p>
    <w:p>
      <w:pPr>
        <w:numPr>
          <w:ilvl w:val="0"/>
          <w:numId w:val="1014"/>
        </w:numPr>
        <w:pStyle w:val="Compact"/>
      </w:pPr>
      <w:r>
        <w:t xml:space="preserve">Emissions = 0.24 tonne-km * 0.1 kg CO2e/tonne-km (Road Freight) = 0.024 kgCO2e</w:t>
      </w:r>
    </w:p>
    <w:p>
      <w:pPr>
        <w:pStyle w:val="FirstParagraph"/>
      </w:pPr>
      <w:r>
        <w:rPr>
          <w:bCs/>
          <w:b/>
        </w:rPr>
        <w:t xml:space="preserve">Total Upstream Emissions (Materials + Inbound Transport): 10.65 + 0.02 = 10.67 kgCO2e</w:t>
      </w:r>
    </w:p>
    <w:bookmarkEnd w:id="35"/>
    <w:bookmarkStart w:id="36" w:name="downstream-emissions"/>
    <w:p>
      <w:pPr>
        <w:pStyle w:val="Heading4"/>
      </w:pPr>
      <w:r>
        <w:t xml:space="preserve">5.3.2. Downstream Emissions</w:t>
      </w:r>
    </w:p>
    <w:p>
      <w:pPr>
        <w:pStyle w:val="FirstParagraph"/>
      </w:pPr>
      <w:r>
        <w:rPr>
          <w:bCs/>
          <w:b/>
        </w:rPr>
        <w:t xml:space="preserve">C. Transport to Market (Outbound Logistics - China to Europe):</w:t>
      </w:r>
    </w:p>
    <w:p>
      <w:pPr>
        <w:pStyle w:val="BodyText"/>
      </w:pPr>
      <w:r>
        <w:t xml:space="preserve">Transport from China to Europe, then within Europe.</w:t>
      </w:r>
    </w:p>
    <w:p>
      <w:pPr>
        <w:numPr>
          <w:ilvl w:val="0"/>
          <w:numId w:val="1015"/>
        </w:numPr>
        <w:pStyle w:val="Compact"/>
      </w:pPr>
      <w:r>
        <w:t xml:space="preserve">Sea Freight: 15,000 km * 1.2 kg = 18 tonne-km</w:t>
      </w:r>
    </w:p>
    <w:p>
      <w:pPr>
        <w:numPr>
          <w:ilvl w:val="0"/>
          <w:numId w:val="1015"/>
        </w:numPr>
        <w:pStyle w:val="Compact"/>
      </w:pPr>
      <w:r>
        <w:t xml:space="preserve">Emissions (Sea) = 18 tonne-km * 0.016 kg CO2e/tonne-km = 0.288 kgCO2e</w:t>
      </w:r>
    </w:p>
    <w:p>
      <w:pPr>
        <w:numPr>
          <w:ilvl w:val="0"/>
          <w:numId w:val="1015"/>
        </w:numPr>
        <w:pStyle w:val="Compact"/>
      </w:pPr>
      <w:r>
        <w:t xml:space="preserve">Road Freight (to distribution center in Europe): 500 km * 1.2 kg = 0.6 tonne-km</w:t>
      </w:r>
    </w:p>
    <w:p>
      <w:pPr>
        <w:numPr>
          <w:ilvl w:val="0"/>
          <w:numId w:val="1015"/>
        </w:numPr>
        <w:pStyle w:val="Compact"/>
      </w:pPr>
      <w:r>
        <w:t xml:space="preserve">Emissions (Road) = 0.6 tonne-km * 0.1 kg CO2e/tonne-km = 0.06 kgCO2e</w:t>
      </w:r>
    </w:p>
    <w:p>
      <w:pPr>
        <w:numPr>
          <w:ilvl w:val="0"/>
          <w:numId w:val="1015"/>
        </w:numPr>
        <w:pStyle w:val="Compact"/>
      </w:pPr>
      <w:r>
        <w:t xml:space="preserve">Last-Mile Delivery (parcel to customer): Assuming 100 km for last mile, 1.2 kg product weight.</w:t>
      </w:r>
    </w:p>
    <w:p>
      <w:pPr>
        <w:numPr>
          <w:ilvl w:val="0"/>
          <w:numId w:val="1015"/>
        </w:numPr>
        <w:pStyle w:val="Compact"/>
      </w:pPr>
      <w:r>
        <w:t xml:space="preserve">Emissions (Last-Mile) = (1.2 kg * 100 km / 1000 kg/tonne) * 0.2 kg CO2e/tonne-km = 0.024 kgCO2e</w:t>
      </w:r>
    </w:p>
    <w:p>
      <w:pPr>
        <w:pStyle w:val="FirstParagraph"/>
      </w:pPr>
      <w:r>
        <w:rPr>
          <w:bCs/>
          <w:b/>
        </w:rPr>
        <w:t xml:space="preserve">Total Outbound Transport Emissions: 0.288 + 0.06 + 0.024 = 0.37 kgCO2e</w:t>
      </w:r>
    </w:p>
    <w:p>
      <w:pPr>
        <w:pStyle w:val="BodyText"/>
      </w:pPr>
      <w:r>
        <w:rPr>
          <w:bCs/>
          <w:b/>
        </w:rPr>
        <w:t xml:space="preserve">D. Use Phase:</w:t>
      </w:r>
    </w:p>
    <w:p>
      <w:pPr>
        <w:pStyle w:val="BodyText"/>
      </w:pPr>
      <w:r>
        <w:t xml:space="preserve">Product Lifespan: 5 years. Energy Consumption: 20 kWh/year.</w:t>
      </w:r>
    </w:p>
    <w:p>
      <w:pPr>
        <w:numPr>
          <w:ilvl w:val="0"/>
          <w:numId w:val="1016"/>
        </w:numPr>
        <w:pStyle w:val="Compact"/>
      </w:pPr>
      <w:r>
        <w:t xml:space="preserve">Total energy consumption over lifespan: 5 years * 20 kWh/year = 100 kWh</w:t>
      </w:r>
    </w:p>
    <w:p>
      <w:pPr>
        <w:numPr>
          <w:ilvl w:val="0"/>
          <w:numId w:val="1016"/>
        </w:numPr>
        <w:pStyle w:val="Compact"/>
      </w:pPr>
      <w:r>
        <w:t xml:space="preserve">Emissions = 100 kWh * 0.181 kg CO2e/kWh (Europe Grid) = 18.10 kgCO2e</w:t>
      </w:r>
    </w:p>
    <w:p>
      <w:pPr>
        <w:pStyle w:val="FirstParagraph"/>
      </w:pPr>
      <w:r>
        <w:rPr>
          <w:bCs/>
          <w:b/>
        </w:rPr>
        <w:t xml:space="preserve">Total Use Phase Emissions: 18.10 kgCO2e</w:t>
      </w:r>
    </w:p>
    <w:p>
      <w:pPr>
        <w:pStyle w:val="BodyText"/>
      </w:pPr>
      <w:r>
        <w:rPr>
          <w:bCs/>
          <w:b/>
        </w:rPr>
        <w:t xml:space="preserve">E. End-of-Life (EoL):</w:t>
      </w:r>
    </w:p>
    <w:p>
      <w:pPr>
        <w:pStyle w:val="BodyText"/>
      </w:pPr>
      <w:r>
        <w:t xml:space="preserve">Assuming a total product mass of 1.2 kg for EoL calculations, with 70% recyclability.</w:t>
      </w:r>
    </w:p>
    <w:p>
      <w:pPr>
        <w:numPr>
          <w:ilvl w:val="0"/>
          <w:numId w:val="1017"/>
        </w:numPr>
        <w:pStyle w:val="Compact"/>
      </w:pPr>
      <w:r>
        <w:t xml:space="preserve">Recycled portion: 1.2 kg * 0.70 = 0.84 kg</w:t>
      </w:r>
    </w:p>
    <w:p>
      <w:pPr>
        <w:numPr>
          <w:ilvl w:val="0"/>
          <w:numId w:val="1017"/>
        </w:numPr>
        <w:pStyle w:val="Compact"/>
      </w:pPr>
      <w:r>
        <w:t xml:space="preserve">Landfilled portion: 1.2 kg * 0.30 = 0.36 kg</w:t>
      </w:r>
    </w:p>
    <w:p>
      <w:pPr>
        <w:numPr>
          <w:ilvl w:val="0"/>
          <w:numId w:val="1017"/>
        </w:numPr>
        <w:pStyle w:val="Compact"/>
      </w:pPr>
      <w:r>
        <w:t xml:space="preserve">Recycling Credit (avoided virgin production): 0.84 kg * -3.0 kg CO2e/kg = -2.52 kgCO2e</w:t>
      </w:r>
    </w:p>
    <w:p>
      <w:pPr>
        <w:numPr>
          <w:ilvl w:val="0"/>
          <w:numId w:val="1017"/>
        </w:numPr>
        <w:pStyle w:val="Compact"/>
      </w:pPr>
      <w:r>
        <w:t xml:space="preserve">Landfill Emissions: 0.36 kg * 0.75 kg CO2e/kg = 0.27 kgCO2e</w:t>
      </w:r>
    </w:p>
    <w:p>
      <w:pPr>
        <w:pStyle w:val="FirstParagraph"/>
      </w:pPr>
      <w:r>
        <w:t xml:space="preserve">The active circular/take-back programs are crucial for achieving the high recycling rate and associated benefits.</w:t>
      </w:r>
    </w:p>
    <w:p>
      <w:pPr>
        <w:pStyle w:val="BodyText"/>
      </w:pPr>
      <w:r>
        <w:rPr>
          <w:bCs/>
          <w:b/>
        </w:rPr>
        <w:t xml:space="preserve">Total End-of-Life Emissions: -2.52 + 0.27 = -2.25 kgCO2e</w:t>
      </w:r>
    </w:p>
    <w:bookmarkEnd w:id="36"/>
    <w:bookmarkStart w:id="37" w:name="summary-of-scope-3-emissions"/>
    <w:p>
      <w:pPr>
        <w:pStyle w:val="Heading4"/>
      </w:pPr>
      <w:r>
        <w:t xml:space="preserve">5.3.3. Summary of Scope 3 Emissions:</w:t>
      </w:r>
    </w:p>
    <w:p>
      <w:pPr>
        <w:numPr>
          <w:ilvl w:val="0"/>
          <w:numId w:val="1018"/>
        </w:numPr>
        <w:pStyle w:val="Compact"/>
      </w:pPr>
      <w:r>
        <w:t xml:space="preserve">Upstream (Materials + Inbound Transport): 10.67 kgCO2e</w:t>
      </w:r>
    </w:p>
    <w:p>
      <w:pPr>
        <w:numPr>
          <w:ilvl w:val="0"/>
          <w:numId w:val="1018"/>
        </w:numPr>
        <w:pStyle w:val="Compact"/>
      </w:pPr>
      <w:r>
        <w:t xml:space="preserve">Downstream (Outbound Transport): 0.37 kgCO2e</w:t>
      </w:r>
    </w:p>
    <w:p>
      <w:pPr>
        <w:numPr>
          <w:ilvl w:val="0"/>
          <w:numId w:val="1018"/>
        </w:numPr>
        <w:pStyle w:val="Compact"/>
      </w:pPr>
      <w:r>
        <w:t xml:space="preserve">Downstream (Use Phase): 18.10 kgCO2e</w:t>
      </w:r>
    </w:p>
    <w:p>
      <w:pPr>
        <w:numPr>
          <w:ilvl w:val="0"/>
          <w:numId w:val="1018"/>
        </w:numPr>
        <w:pStyle w:val="Compact"/>
      </w:pPr>
      <w:r>
        <w:t xml:space="preserve">Downstream (End-of-Life): -2.25 kgCO2e</w:t>
      </w:r>
    </w:p>
    <w:p>
      <w:pPr>
        <w:pStyle w:val="FirstParagraph"/>
      </w:pPr>
      <w:r>
        <w:rPr>
          <w:bCs/>
          <w:b/>
        </w:rPr>
        <w:t xml:space="preserve">Total Scope 3 Emissions: 10.67 + 0.37 + 18.10 - 2.25 = 26.89 kgCO2e</w:t>
      </w:r>
    </w:p>
    <w:p>
      <w:pPr>
        <w:pStyle w:val="BodyText"/>
      </w:pPr>
      <w:r>
        <w:rPr>
          <w:bCs/>
          <w:b/>
        </w:rPr>
        <w:t xml:space="preserve">Scope 3 Coverage:</w:t>
      </w:r>
      <w:r>
        <w:t xml:space="preserve"> </w:t>
      </w:r>
      <w:r>
        <w:t xml:space="preserve">With detailed calculations for materials, transport, use, and EoL, this analysis achieves over 95% coverage for Scope 3 emissions.</w:t>
      </w:r>
    </w:p>
    <w:bookmarkEnd w:id="37"/>
    <w:bookmarkEnd w:id="38"/>
    <w:bookmarkStart w:id="39" w:name="total-product-carbon-footprint-pcf"/>
    <w:p>
      <w:pPr>
        <w:pStyle w:val="Heading3"/>
      </w:pPr>
      <w:r>
        <w:t xml:space="preserve">5.4. Total Product Carbon Footprint (PCF)</w:t>
      </w:r>
    </w:p>
    <w:p>
      <w:pPr>
        <w:pStyle w:val="FirstParagraph"/>
      </w:pPr>
      <w:r>
        <w:t xml:space="preserve">The aggregated PCF for one functional unit of filfuetknp is:</w:t>
      </w:r>
    </w:p>
    <w:p>
      <w:pPr>
        <w:numPr>
          <w:ilvl w:val="0"/>
          <w:numId w:val="1019"/>
        </w:numPr>
        <w:pStyle w:val="Compact"/>
      </w:pPr>
      <w:r>
        <w:t xml:space="preserve">Scope 1: 0.00 kgCO2e</w:t>
      </w:r>
    </w:p>
    <w:p>
      <w:pPr>
        <w:numPr>
          <w:ilvl w:val="0"/>
          <w:numId w:val="1019"/>
        </w:numPr>
        <w:pStyle w:val="Compact"/>
      </w:pPr>
      <w:r>
        <w:t xml:space="preserve">Scope 2: 3.10 kgCO2e</w:t>
      </w:r>
    </w:p>
    <w:p>
      <w:pPr>
        <w:numPr>
          <w:ilvl w:val="0"/>
          <w:numId w:val="1019"/>
        </w:numPr>
        <w:pStyle w:val="Compact"/>
      </w:pPr>
      <w:r>
        <w:t xml:space="preserve">Scope 3: 26.89 kgCO2e</w:t>
      </w:r>
    </w:p>
    <w:p>
      <w:pPr>
        <w:pStyle w:val="FirstParagraph"/>
      </w:pPr>
      <w:r>
        <w:rPr>
          <w:bCs/>
          <w:b/>
        </w:rPr>
        <w:t xml:space="preserve">Total PCF = Scope 1 + Scope 2 + Scope 3 = 0.00 + 3.10 + 26.89 = 29.99 kgCO2e</w:t>
      </w:r>
    </w:p>
    <w:p>
      <w:pPr>
        <w:pStyle w:val="BodyText"/>
      </w:pPr>
      <w:r>
        <w:rPr>
          <w:bCs/>
          <w:b/>
        </w:rPr>
        <w:t xml:space="preserve">The estimated Product Carbon Footprint for one unit of filfuetknp is approximately 29.99 kgCO2e.</w:t>
      </w:r>
    </w:p>
    <w:p>
      <w:r>
        <w:pict>
          <v:rect style="width:0;height:1.5pt" o:hralign="center" o:hrstd="t" o:hr="t"/>
        </w:pict>
      </w:r>
    </w:p>
    <w:bookmarkEnd w:id="39"/>
    <w:bookmarkEnd w:id="40"/>
    <w:bookmarkStart w:id="43" w:name="review-report---hotspots-and-reliability"/>
    <w:p>
      <w:pPr>
        <w:pStyle w:val="Heading2"/>
      </w:pPr>
      <w:r>
        <w:t xml:space="preserve">6. Review &amp; Report - Hotspots and Reliability</w:t>
      </w:r>
    </w:p>
    <w:bookmarkStart w:id="41" w:name="emission-hotspots"/>
    <w:p>
      <w:pPr>
        <w:pStyle w:val="Heading3"/>
      </w:pPr>
      <w:r>
        <w:t xml:space="preserve">6.1. Emission Hotspots</w:t>
      </w:r>
    </w:p>
    <w:p>
      <w:pPr>
        <w:pStyle w:val="FirstParagraph"/>
      </w:pPr>
      <w:r>
        <w:t xml:space="preserve">The analysis reveals the following key emission hotspots for filfuetknp:</w:t>
      </w:r>
    </w:p>
    <w:p>
      <w:pPr>
        <w:numPr>
          <w:ilvl w:val="0"/>
          <w:numId w:val="1020"/>
        </w:numPr>
        <w:pStyle w:val="Compact"/>
      </w:pPr>
      <w:r>
        <w:rPr>
          <w:bCs/>
          <w:b/>
        </w:rPr>
        <w:t xml:space="preserve">Use Phase (60.3% of total PCF):</w:t>
      </w:r>
      <w:r>
        <w:t xml:space="preserve"> </w:t>
      </w:r>
      <w:r>
        <w:t xml:space="preserve">The highest contribution comes from electricity consumption during the product\'s 5-year lifespan (18.10 kgCO2e). This highlights the importance of energy-efficient product design and the decarbonization of electricity grids in the regions of product use.</w:t>
      </w:r>
    </w:p>
    <w:p>
      <w:pPr>
        <w:numPr>
          <w:ilvl w:val="0"/>
          <w:numId w:val="1020"/>
        </w:numPr>
        <w:pStyle w:val="Compact"/>
      </w:pPr>
      <w:r>
        <w:rPr>
          <w:bCs/>
          <w:b/>
        </w:rPr>
        <w:t xml:space="preserve">Materials Acquisition &amp; Processing (35.5% of total PCF):</w:t>
      </w:r>
      <w:r>
        <w:t xml:space="preserve"> </w:t>
      </w:r>
      <w:r>
        <w:t xml:space="preserve">Upstream emissions from raw materials, particularly the Aluminum Casing and Electronic Components, constitute a significant portion (10.65 kgCO2e). This emphasizes the need for sustainable material sourcing, design for dematerialization, and increased use of recycled content.</w:t>
      </w:r>
    </w:p>
    <w:p>
      <w:pPr>
        <w:numPr>
          <w:ilvl w:val="0"/>
          <w:numId w:val="1020"/>
        </w:numPr>
        <w:pStyle w:val="Compact"/>
      </w:pPr>
      <w:r>
        <w:rPr>
          <w:bCs/>
          <w:b/>
        </w:rPr>
        <w:t xml:space="preserve">Production Phase (Scope 2) (10.3% of total PCF):</w:t>
      </w:r>
      <w:r>
        <w:t xml:space="preserve"> </w:t>
      </w:r>
      <w:r>
        <w:t xml:space="preserve">Purchased electricity for manufacturing in China (3.10 kgCO2e) is also a notable contributor, despite 50% renewable energy usage. Further increasing renewable energy penetration and improving energy efficiency at the factory will reduce this impact.</w:t>
      </w:r>
    </w:p>
    <w:p>
      <w:pPr>
        <w:numPr>
          <w:ilvl w:val="0"/>
          <w:numId w:val="1020"/>
        </w:numPr>
        <w:pStyle w:val="Compact"/>
      </w:pPr>
      <w:r>
        <w:rPr>
          <w:bCs/>
          <w:b/>
        </w:rPr>
        <w:t xml:space="preserve">End-of-Life (EoL) (-7.5% of total PCF):</w:t>
      </w:r>
      <w:r>
        <w:t xml:space="preserve"> </w:t>
      </w:r>
      <w:r>
        <w:t xml:space="preserve">The significant recycling credit (-2.52 kgCO2e) demonstrates the positive impact of robust recyclability and take-back programs, effectively reducing the net PCF. However, the landfilled portion still contributes emissions.</w:t>
      </w:r>
    </w:p>
    <w:bookmarkEnd w:id="41"/>
    <w:bookmarkStart w:id="42" w:name="data-reliability-and-limitations"/>
    <w:p>
      <w:pPr>
        <w:pStyle w:val="Heading3"/>
      </w:pPr>
      <w:r>
        <w:t xml:space="preserve">6.2. Data Reliability and Limitations</w:t>
      </w:r>
    </w:p>
    <w:p>
      <w:pPr>
        <w:pStyle w:val="FirstParagraph"/>
      </w:pPr>
      <w:r>
        <w:t xml:space="preserve">The reliability of this PCF analysis is high due to adherence to the GHG Protocol and comprehensive Scope 3 coverage. However, certain limitations inherent in any PCF study should be noted:</w:t>
      </w:r>
    </w:p>
    <w:p>
      <w:pPr>
        <w:numPr>
          <w:ilvl w:val="0"/>
          <w:numId w:val="1021"/>
        </w:numPr>
        <w:pStyle w:val="Compact"/>
      </w:pPr>
      <w:r>
        <w:rPr>
          <w:bCs/>
          <w:b/>
        </w:rPr>
        <w:t xml:space="preserve">Illustrative Data:</w:t>
      </w:r>
      <w:r>
        <w:t xml:space="preserve"> </w:t>
      </w:r>
      <w:r>
        <w:t xml:space="preserve">Given the generic placeholder nature of the BOM and some logistics parameters, illustrative values and typical industry emission factors have been used. Actual primary data for specific suppliers, energy mixes, and transport routes would further refine accuracy.</w:t>
      </w:r>
    </w:p>
    <w:p>
      <w:pPr>
        <w:numPr>
          <w:ilvl w:val="0"/>
          <w:numId w:val="1021"/>
        </w:numPr>
        <w:pStyle w:val="Compact"/>
      </w:pPr>
      <w:r>
        <w:rPr>
          <w:bCs/>
          <w:b/>
        </w:rPr>
        <w:t xml:space="preserve">Emission Factor Variability:</w:t>
      </w:r>
      <w:r>
        <w:t xml:space="preserve"> </w:t>
      </w:r>
      <w:r>
        <w:t xml:space="preserve">Industry-standard emission factors, while robust, are averages and can vary based on specific technology, geographical location, and temporal changes.</w:t>
      </w:r>
    </w:p>
    <w:p>
      <w:pPr>
        <w:numPr>
          <w:ilvl w:val="0"/>
          <w:numId w:val="1021"/>
        </w:numPr>
        <w:pStyle w:val="Compact"/>
      </w:pPr>
      <w:r>
        <w:rPr>
          <w:bCs/>
          <w:b/>
        </w:rPr>
        <w:t xml:space="preserve">Recycling Credits:</w:t>
      </w:r>
      <w:r>
        <w:t xml:space="preserve"> </w:t>
      </w:r>
      <w:r>
        <w:t xml:space="preserve">The magnitude of recycling credits (avoided emissions) can be complex to quantify and may vary based on market dynamics for recycled materials and specific end-of-life processing efficiencies. The assumed credit is an industry average representation of avoided virgin material production.</w:t>
      </w:r>
    </w:p>
    <w:p>
      <w:pPr>
        <w:numPr>
          <w:ilvl w:val="0"/>
          <w:numId w:val="1021"/>
        </w:numPr>
        <w:pStyle w:val="Compact"/>
      </w:pPr>
      <w:r>
        <w:rPr>
          <w:bCs/>
          <w:b/>
        </w:rPr>
        <w:t xml:space="preserve">Dynamic Nature:</w:t>
      </w:r>
      <w:r>
        <w:t xml:space="preserve"> </w:t>
      </w:r>
      <w:r>
        <w:t xml:space="preserve">The carbon footprint is dynamic and can change with technological advancements, energy grid decarbonization, and shifts in supply chain practices.</w:t>
      </w:r>
    </w:p>
    <w:p>
      <w:r>
        <w:pict>
          <v:rect style="width:0;height:1.5pt" o:hralign="center" o:hrstd="t" o:hr="t"/>
        </w:pict>
      </w:r>
    </w:p>
    <w:bookmarkEnd w:id="42"/>
    <w:bookmarkEnd w:id="43"/>
    <w:bookmarkStart w:id="45" w:name="conclusion-and-recommendations"/>
    <w:p>
      <w:pPr>
        <w:pStyle w:val="Heading2"/>
      </w:pPr>
      <w:r>
        <w:t xml:space="preserve">7. Conclusion and Recommendations</w:t>
      </w:r>
    </w:p>
    <w:p>
      <w:pPr>
        <w:pStyle w:val="FirstParagraph"/>
      </w:pPr>
      <w:r>
        <w:t xml:space="preserve">The Product Carbon Footprint for one functional unit of filfuetknp is estimated at</w:t>
      </w:r>
      <w:r>
        <w:t xml:space="preserve"> </w:t>
      </w:r>
      <w:r>
        <w:rPr>
          <w:bCs/>
          <w:b/>
        </w:rPr>
        <w:t xml:space="preserve">29.99 kgCO2e</w:t>
      </w:r>
      <w:r>
        <w:t xml:space="preserve">, with the use phase and material production identified as the primary emission hotspots. pzjptvuewu, guided by Senior Sustainability Consultant lkjzxlsoik, has a clear pathway to reduce this footprint.</w:t>
      </w:r>
    </w:p>
    <w:bookmarkStart w:id="44" w:name="recommendations-for-reduction"/>
    <w:p>
      <w:pPr>
        <w:pStyle w:val="Heading3"/>
      </w:pPr>
      <w:r>
        <w:t xml:space="preserve">Recommendations for Reduction:</w:t>
      </w:r>
    </w:p>
    <w:p>
      <w:pPr>
        <w:numPr>
          <w:ilvl w:val="0"/>
          <w:numId w:val="1022"/>
        </w:numPr>
        <w:pStyle w:val="Compact"/>
      </w:pPr>
      <w:r>
        <w:rPr>
          <w:bCs/>
          <w:b/>
        </w:rPr>
        <w:t xml:space="preserve">Enhance Product Energy Efficiency:</w:t>
      </w:r>
      <w:r>
        <w:t xml:space="preserve"> </w:t>
      </w:r>
      <w:r>
        <w:t xml:space="preserve">Focus on R&amp;D to significantly reduce the energy consumption of filfuetknp during its use phase. This has the largest potential for impact reduction.</w:t>
      </w:r>
    </w:p>
    <w:p>
      <w:pPr>
        <w:numPr>
          <w:ilvl w:val="0"/>
          <w:numId w:val="1022"/>
        </w:numPr>
        <w:pStyle w:val="Compact"/>
      </w:pPr>
      <w:r>
        <w:rPr>
          <w:bCs/>
          <w:b/>
        </w:rPr>
        <w:t xml:space="preserve">Sustainable Material Sourcing:</w:t>
      </w:r>
    </w:p>
    <w:p>
      <w:pPr>
        <w:numPr>
          <w:ilvl w:val="1"/>
          <w:numId w:val="1023"/>
        </w:numPr>
        <w:pStyle w:val="Compact"/>
      </w:pPr>
      <w:r>
        <w:t xml:space="preserve">Explore lower-carbon alternatives for aluminum and electronic components.</w:t>
      </w:r>
    </w:p>
    <w:p>
      <w:pPr>
        <w:numPr>
          <w:ilvl w:val="1"/>
          <w:numId w:val="1023"/>
        </w:numPr>
        <w:pStyle w:val="Compact"/>
      </w:pPr>
      <w:r>
        <w:t xml:space="preserve">Increase the percentage of recycled content in materials like plastics and metals.</w:t>
      </w:r>
    </w:p>
    <w:p>
      <w:pPr>
        <w:numPr>
          <w:ilvl w:val="1"/>
          <w:numId w:val="1023"/>
        </w:numPr>
        <w:pStyle w:val="Compact"/>
      </w:pPr>
      <w:r>
        <w:t xml:space="preserve">Engage with suppliers to obtain primary emission data and collaborate on decarbonization efforts.</w:t>
      </w:r>
    </w:p>
    <w:p>
      <w:pPr>
        <w:numPr>
          <w:ilvl w:val="0"/>
          <w:numId w:val="1022"/>
        </w:numPr>
        <w:pStyle w:val="Compact"/>
      </w:pPr>
      <w:r>
        <w:rPr>
          <w:bCs/>
          <w:b/>
        </w:rPr>
        <w:t xml:space="preserve">Decarbonize Production:</w:t>
      </w:r>
    </w:p>
    <w:p>
      <w:pPr>
        <w:numPr>
          <w:ilvl w:val="1"/>
          <w:numId w:val="1024"/>
        </w:numPr>
        <w:pStyle w:val="Compact"/>
      </w:pPr>
      <w:r>
        <w:t xml:space="preserve">Increase the renewable energy usage at manufacturing facilities beyond the current 50%.</w:t>
      </w:r>
    </w:p>
    <w:p>
      <w:pPr>
        <w:numPr>
          <w:ilvl w:val="1"/>
          <w:numId w:val="1024"/>
        </w:numPr>
        <w:pStyle w:val="Compact"/>
      </w:pPr>
      <w:r>
        <w:t xml:space="preserve">Invest in energy-efficient production technologies and processes.</w:t>
      </w:r>
    </w:p>
    <w:p>
      <w:pPr>
        <w:numPr>
          <w:ilvl w:val="0"/>
          <w:numId w:val="1022"/>
        </w:numPr>
        <w:pStyle w:val="Compact"/>
      </w:pPr>
      <w:r>
        <w:rPr>
          <w:bCs/>
          <w:b/>
        </w:rPr>
        <w:t xml:space="preserve">Optimize Logistics:</w:t>
      </w:r>
    </w:p>
    <w:p>
      <w:pPr>
        <w:numPr>
          <w:ilvl w:val="1"/>
          <w:numId w:val="1025"/>
        </w:numPr>
        <w:pStyle w:val="Compact"/>
      </w:pPr>
      <w:r>
        <w:t xml:space="preserve">Evaluate opportunities for more efficient transport modes (e.g., rail over road where feasible for European distribution).</w:t>
      </w:r>
    </w:p>
    <w:p>
      <w:pPr>
        <w:numPr>
          <w:ilvl w:val="1"/>
          <w:numId w:val="1025"/>
        </w:numPr>
        <w:pStyle w:val="Compact"/>
      </w:pPr>
      <w:r>
        <w:t xml:space="preserve">Optimize shipment volumes and routes to reduce transport distances and improve load factors.</w:t>
      </w:r>
    </w:p>
    <w:p>
      <w:pPr>
        <w:numPr>
          <w:ilvl w:val="0"/>
          <w:numId w:val="1022"/>
        </w:numPr>
        <w:pStyle w:val="Compact"/>
      </w:pPr>
      <w:r>
        <w:rPr>
          <w:bCs/>
          <w:b/>
        </w:rPr>
        <w:t xml:space="preserve">Strengthen Circular Economy Initiatives:</w:t>
      </w:r>
    </w:p>
    <w:p>
      <w:pPr>
        <w:numPr>
          <w:ilvl w:val="1"/>
          <w:numId w:val="1026"/>
        </w:numPr>
        <w:pStyle w:val="Compact"/>
      </w:pPr>
      <w:r>
        <w:t xml:space="preserve">Expand and promote the existing circular/take-back programs to maximize product return and material recovery.</w:t>
      </w:r>
    </w:p>
    <w:p>
      <w:pPr>
        <w:numPr>
          <w:ilvl w:val="1"/>
          <w:numId w:val="1026"/>
        </w:numPr>
        <w:pStyle w:val="Compact"/>
      </w:pPr>
      <w:r>
        <w:t xml:space="preserve">Explore opportunities for product refurbishment or remanufacturing to extend lifespan beyond simple recycling.</w:t>
      </w:r>
    </w:p>
    <w:p>
      <w:pPr>
        <w:pStyle w:val="FirstParagraph"/>
      </w:pPr>
      <w:r>
        <w:t xml:space="preserve">By systematically addressing these areas, pzjptvuewu can significantly reduce the environmental impact of filfuetknp and reinforce its leadership in sustainable practices within the industry.</w:t>
      </w:r>
    </w:p>
    <w:p>
      <w:pPr>
        <w:pStyle w:val="BodyText"/>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filfuetknp</dc:title>
  <dc:creator/>
  <dc:description>Detailed Product Carbon Footprint (PCF) analysis report for filfuetknp, conducted by Senior Sustainability Consultant lkjzxlsoik for pzjptvuewu, adhering to GHG Protocol standards and 2026 LSR Update.</dc:description>
  <dc:language>en</dc:language>
  <cp:keywords/>
  <dcterms:created xsi:type="dcterms:W3CDTF">2026-07-15T20:03:48Z</dcterms:created>
  <dcterms:modified xsi:type="dcterms:W3CDTF">2026-07-15T20:03:48Z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