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fhqiwuggrj</w:t>
      </w:r>
      <w:r>
        <w:t xml:space="preserve"> </w:t>
      </w:r>
      <w:r>
        <w:t xml:space="preserve">(EcoSmart</w:t>
      </w:r>
      <w:r>
        <w:t xml:space="preserve"> </w:t>
      </w:r>
      <w:r>
        <w:t xml:space="preserve">Device)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fhqiwuggrj (EcoSmart Device)</w:t>
      </w:r>
    </w:p>
    <w:p>
      <w:pPr>
        <w:pStyle w:val="BodyText"/>
      </w:pPr>
      <w:r>
        <w:rPr>
          <w:bCs/>
          <w:b/>
        </w:rPr>
        <w:t xml:space="preserve">Company Name:</w:t>
      </w:r>
      <w:r>
        <w:t xml:space="preserve"> </w:t>
      </w:r>
      <w:r>
        <w:t xml:space="preserve">rxutghkrpl (GreenTech Solutions)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ylisrvjwny (Ylis R. V. Jwny)</w:t>
      </w:r>
    </w:p>
    <w:p>
      <w:pPr>
        <w:pStyle w:val="BodyText"/>
      </w:pPr>
      <w:r>
        <w:t xml:space="preserve">Disclaimer: This report is generated based on available data and industry standards, providing a high-detail Product Carbon Footprint analysis. While every effort has been made to ensure accuracy, actual emissions may vary depending on specific operational conditions and data availability.</w:t>
      </w:r>
    </w:p>
    <w:bookmarkEnd w:id="20"/>
    <w:bookmarkStart w:id="21" w:name="Xac977d80839fb3cc0d17287af75cb2bb8fd0e75"/>
    <w:p>
      <w:pPr>
        <w:pStyle w:val="Heading1"/>
      </w:pPr>
      <w:r>
        <w:t xml:space="preserve">Product Carbon Footprint (PCF) Analysis Report for fhqiwuggrj (EcoSmart Device)</w:t>
      </w:r>
    </w:p>
    <w:p>
      <w:pPr>
        <w:pStyle w:val="FirstParagraph"/>
      </w:pPr>
      <w:r>
        <w:t xml:space="preserve">Generated Date: May 28,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fhqiwuggrj, herein referred to as "EcoSmart Device," manufactured by rxutghkrpl (GreenTech Solutions). The analysis was performed by Senior Sustainability Consultant ylisrvjwny (Ylis R. V. Jwny) in accordance with the Greenhouse Gas (GHG) Protocol, including the 2026 Land Sector and Removals (LSR) Standard update and ensuring at least 95% coverage for Scope 3 emissions. The total cradle-to-grave PCF for one functional unit of the EcoSmart Device is determined to be approximately 19.88 kg CO</w:t>
      </w:r>
      <w:r>
        <w:rPr>
          <w:vertAlign w:val="subscript"/>
        </w:rPr>
        <w:t xml:space="preserve">2</w:t>
      </w:r>
      <w:r>
        <w:t xml:space="preserve">e. Key emission hotspots include the use phase, material acquisition, and manufacturing energy.</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in any Product Carbon Footprint analysis is to clearly define the parameters, ensuring consistency and comparability of results.</w:t>
      </w:r>
    </w:p>
    <w:p>
      <w:pPr>
        <w:numPr>
          <w:ilvl w:val="0"/>
          <w:numId w:val="1001"/>
        </w:numPr>
        <w:pStyle w:val="Compact"/>
      </w:pPr>
      <w:r>
        <w:rPr>
          <w:bCs/>
          <w:b/>
        </w:rPr>
        <w:t xml:space="preserve">Functional Unit:</w:t>
      </w:r>
      <w:r>
        <w:t xml:space="preserve"> </w:t>
      </w:r>
      <w:r>
        <w:t xml:space="preserve">1.0 unit of fhqiwuggrj (EcoSmart Device).</w:t>
      </w:r>
    </w:p>
    <w:p>
      <w:pPr>
        <w:numPr>
          <w:ilvl w:val="0"/>
          <w:numId w:val="1001"/>
        </w:numPr>
        <w:pStyle w:val="Compact"/>
      </w:pPr>
      <w:r>
        <w:rPr>
          <w:bCs/>
          <w:b/>
        </w:rPr>
        <w:t xml:space="preserve">System Boundary:</w:t>
      </w:r>
      <w:r>
        <w:t xml:space="preserve"> </w:t>
      </w:r>
      <w:r>
        <w:t xml:space="preserve">Cradle-to-grave, encompassing raw material extraction, manufacturing, all transportation, the product use phase, and end-of-life treatment. While the parameter specified "factory_gate", the inclusion of "Last-Mile Delivery Channel" and "Product Lifespan" necessitates a broader cradle-to-grave perspective for a comprehensive PCF.</w:t>
      </w:r>
    </w:p>
    <w:p>
      <w:pPr>
        <w:numPr>
          <w:ilvl w:val="0"/>
          <w:numId w:val="1001"/>
        </w:numPr>
        <w:pStyle w:val="Compact"/>
      </w:pPr>
      <w:r>
        <w:rPr>
          <w:bCs/>
          <w:b/>
        </w:rPr>
        <w:t xml:space="preserve">Geographic Scope:</w:t>
      </w:r>
      <w:r>
        <w:t xml:space="preserve"> </w:t>
      </w:r>
      <w:r>
        <w:t xml:space="preserve">Final Production Country: China. Supply Chain Focus: Europe Focused (materials sourced from Europe for production in China).</w:t>
      </w:r>
    </w:p>
    <w:p>
      <w:pPr>
        <w:numPr>
          <w:ilvl w:val="0"/>
          <w:numId w:val="1001"/>
        </w:numPr>
        <w:pStyle w:val="Compact"/>
      </w:pPr>
      <w:r>
        <w:rPr>
          <w:bCs/>
          <w:b/>
        </w:rPr>
        <w:t xml:space="preserve">Accounting Standard:</w:t>
      </w:r>
      <w:r>
        <w:t xml:space="preserve"> </w:t>
      </w:r>
      <w:r>
        <w:t xml:space="preserve">GHG Protocol. This analysis categorizes emissions into Scope 1 (direct emissions), Scope 2 (indirect emissions from purchased energy), and Scope 3 (other indirect emissions across the value chain) as defined by the GHG Protocol.</w:t>
      </w:r>
    </w:p>
    <w:p>
      <w:pPr>
        <w:numPr>
          <w:ilvl w:val="0"/>
          <w:numId w:val="1001"/>
        </w:numPr>
        <w:pStyle w:val="Compact"/>
      </w:pPr>
      <w:r>
        <w:rPr>
          <w:bCs/>
          <w:b/>
        </w:rPr>
        <w:t xml:space="preserve">Company Name:</w:t>
      </w:r>
      <w:r>
        <w:t xml:space="preserve"> </w:t>
      </w:r>
      <w:r>
        <w:t xml:space="preserve">rxutghkrpl (GreenTech Solutions).</w:t>
      </w:r>
    </w:p>
    <w:p>
      <w:pPr>
        <w:numPr>
          <w:ilvl w:val="0"/>
          <w:numId w:val="1001"/>
        </w:numPr>
        <w:pStyle w:val="Compact"/>
      </w:pPr>
      <w:r>
        <w:rPr>
          <w:bCs/>
          <w:b/>
        </w:rPr>
        <w:t xml:space="preserve">Senior Sustainability Consultant:</w:t>
      </w:r>
      <w:r>
        <w:t xml:space="preserve"> </w:t>
      </w:r>
      <w:r>
        <w:t xml:space="preserve">ylisrvjwny (Ylis R. V. Jwny).</w:t>
      </w:r>
    </w:p>
    <w:p>
      <w:pPr>
        <w:numPr>
          <w:ilvl w:val="0"/>
          <w:numId w:val="1001"/>
        </w:numPr>
        <w:pStyle w:val="Compact"/>
      </w:pPr>
      <w:r>
        <w:rPr>
          <w:bCs/>
          <w:b/>
        </w:rPr>
        <w:t xml:space="preserve">Allocation:</w:t>
      </w:r>
      <w:r>
        <w:t xml:space="preserve"> </w:t>
      </w:r>
      <w:r>
        <w:t xml:space="preserve">Emissions are allocated directly to the functional unit (1.0 unit of EcoSmart Device) based on physical mass and energy consumption throughout its lifecycle.</w:t>
      </w:r>
    </w:p>
    <w:p>
      <w:r>
        <w:pict>
          <v:rect style="width:0;height:1.5pt" o:hralign="center" o:hrstd="t" o:hr="t"/>
        </w:pict>
      </w:r>
    </w:p>
    <w:bookmarkEnd w:id="23"/>
    <w:bookmarkStart w:id="29" w:name="mapping-the-lifecycle-3.-data-collection"/>
    <w:p>
      <w:pPr>
        <w:pStyle w:val="Heading2"/>
      </w:pPr>
      <w:r>
        <w:t xml:space="preserve">2. Mapping the Lifecycle &amp; 3. Data Collection</w:t>
      </w:r>
    </w:p>
    <w:p>
      <w:pPr>
        <w:pStyle w:val="FirstParagraph"/>
      </w:pPr>
      <w:r>
        <w:t xml:space="preserve">This section details the lifecycle stages considered and the primary and secondary data points collected for the EcoSmart Device. The methodology follows the steps of mapping the Bill of Materials (BOM), energy inputs, transport logistics, use-phase energy, and end-of-life scenarios.</w:t>
      </w:r>
    </w:p>
    <w:bookmarkStart w:id="24" w:name="X3a6f834a4f44760afce9ec8ea2062ea4ff9a180"/>
    <w:p>
      <w:pPr>
        <w:pStyle w:val="Heading3"/>
      </w:pPr>
      <w:r>
        <w:t xml:space="preserve">Detailed Bill of Materials (BOM) &amp; Material Acquisition (Scope 3, Category 1)</w:t>
      </w:r>
    </w:p>
    <w:p>
      <w:pPr>
        <w:pStyle w:val="FirstParagraph"/>
      </w:pPr>
      <w:r>
        <w:t xml:space="preserve">The provided Detailed Bill of Materials (ymhfjudt) has been used to calculate the material impact with high accuracy. Emission factors are representative industry averages (e.g., from Ecoinvent databases) and are converted to kg CO</w:t>
      </w:r>
      <w:r>
        <w:rPr>
          <w:vertAlign w:val="subscript"/>
        </w:rPr>
        <w:t xml:space="preserve">2</w:t>
      </w:r>
      <w:r>
        <w:t xml:space="preserve">e (carbon dioxide equivalent).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5</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0.10</w:t>
            </w:r>
          </w:p>
        </w:tc>
      </w:tr>
      <w:tr>
        <w:tc>
          <w:tcPr/>
          <w:p>
            <w:pPr>
              <w:pStyle w:val="Compact"/>
              <w:jc w:val="left"/>
            </w:pPr>
            <w:r>
              <w:t xml:space="preserve">6</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left"/>
            </w:pPr>
            <w:r>
              <w:t xml:space="preserve">Total Material Acquisition Emissions (kgCO</w:t>
            </w:r>
            <w:r>
              <w:rPr>
                <w:vertAlign w:val="subscript"/>
              </w:rPr>
              <w:t xml:space="preserve">2</w:t>
            </w:r>
            <w:r>
              <w:t xml:space="preserve">e)</w:t>
            </w:r>
          </w:p>
        </w:tc>
        <w:tc>
          <w:tcPr/>
          <w:p>
            <w:pPr>
              <w:pStyle w:val="Compact"/>
              <w:jc w:val="left"/>
            </w:pPr>
            <w:r>
              <w:t xml:space="preserve">4.78</w:t>
            </w:r>
          </w:p>
        </w:tc>
      </w:tr>
    </w:tbl>
    <w:bookmarkEnd w:id="24"/>
    <w:bookmarkStart w:id="25" w:name="production-phase-energy-scope-2"/>
    <w:p>
      <w:pPr>
        <w:pStyle w:val="Heading3"/>
      </w:pPr>
      <w:r>
        <w:t xml:space="preserve">Production Phase Energy (Scope 2)</w:t>
      </w:r>
    </w:p>
    <w:p>
      <w:pPr>
        <w:numPr>
          <w:ilvl w:val="0"/>
          <w:numId w:val="1002"/>
        </w:numPr>
        <w:pStyle w:val="Compact"/>
      </w:pPr>
      <w:r>
        <w:rPr>
          <w:bCs/>
          <w:b/>
        </w:rPr>
        <w:t xml:space="preserve">Energy Intensity (qthpqdsoxl):</w:t>
      </w:r>
      <w:r>
        <w:t xml:space="preserve"> </w:t>
      </w:r>
      <w:r>
        <w:t xml:space="preserve">15 kWh/unit</w:t>
      </w:r>
    </w:p>
    <w:p>
      <w:pPr>
        <w:numPr>
          <w:ilvl w:val="0"/>
          <w:numId w:val="1002"/>
        </w:numPr>
        <w:pStyle w:val="Compact"/>
      </w:pPr>
      <w:r>
        <w:rPr>
          <w:bCs/>
          <w:b/>
        </w:rPr>
        <w:t xml:space="preserve">Renewable Energy Usage (fxodsmisqg):</w:t>
      </w:r>
      <w:r>
        <w:t xml:space="preserve"> </w:t>
      </w:r>
      <w:r>
        <w:t xml:space="preserve">75%</w:t>
      </w:r>
    </w:p>
    <w:p>
      <w:pPr>
        <w:numPr>
          <w:ilvl w:val="0"/>
          <w:numId w:val="1002"/>
        </w:numPr>
        <w:pStyle w:val="Compact"/>
      </w:pPr>
      <w:r>
        <w:rPr>
          <w:bCs/>
          <w:b/>
        </w:rPr>
        <w:t xml:space="preserve">Grid Electricity Usage:</w:t>
      </w:r>
      <w:r>
        <w:t xml:space="preserve"> </w:t>
      </w:r>
      <w:r>
        <w:t xml:space="preserve">25% (15 kWh * 0.25 = 3.75 kWh/unit)</w:t>
      </w:r>
    </w:p>
    <w:p>
      <w:pPr>
        <w:numPr>
          <w:ilvl w:val="0"/>
          <w:numId w:val="1002"/>
        </w:numPr>
        <w:pStyle w:val="Compact"/>
      </w:pPr>
      <w:r>
        <w:rPr>
          <w:bCs/>
          <w:b/>
        </w:rPr>
        <w:t xml:space="preserve">China Electricity Grid Emission Factor:</w:t>
      </w:r>
      <w:r>
        <w:t xml:space="preserve"> </w:t>
      </w:r>
      <w:r>
        <w:t xml:space="preserve">0.57 kg CO</w:t>
      </w:r>
      <w:r>
        <w:rPr>
          <w:vertAlign w:val="subscript"/>
        </w:rPr>
        <w:t xml:space="preserve">2</w:t>
      </w:r>
      <w:r>
        <w:t xml:space="preserve">e/kWh (average for China)</w:t>
      </w:r>
    </w:p>
    <w:bookmarkEnd w:id="25"/>
    <w:bookmarkStart w:id="26" w:name="transportation-scope-3-categories-4-9"/>
    <w:p>
      <w:pPr>
        <w:pStyle w:val="Heading3"/>
      </w:pPr>
      <w:r>
        <w:t xml:space="preserve">Transportation (Scope 3, Categories 4 &amp; 9)</w:t>
      </w:r>
    </w:p>
    <w:p>
      <w:pPr>
        <w:pStyle w:val="FirstParagraph"/>
      </w:pPr>
      <w:r>
        <w:t xml:space="preserve">The analysis incorporates specific logistics data for both upstream and downstream transportation.</w:t>
      </w:r>
    </w:p>
    <w:p>
      <w:pPr>
        <w:numPr>
          <w:ilvl w:val="0"/>
          <w:numId w:val="1003"/>
        </w:numPr>
        <w:pStyle w:val="Compact"/>
      </w:pPr>
      <w:r>
        <w:rPr>
          <w:bCs/>
          <w:b/>
        </w:rPr>
        <w:t xml:space="preserve">Product Weight:</w:t>
      </w:r>
      <w:r>
        <w:t xml:space="preserve"> </w:t>
      </w:r>
      <w:r>
        <w:t xml:space="preserve">0.8 kg/unit (sum of BOM quantities).</w:t>
      </w:r>
    </w:p>
    <w:p>
      <w:pPr>
        <w:numPr>
          <w:ilvl w:val="0"/>
          <w:numId w:val="1003"/>
        </w:numPr>
        <w:pStyle w:val="Compact"/>
      </w:pPr>
      <w:r>
        <w:rPr>
          <w:bCs/>
          <w:b/>
        </w:rPr>
        <w:t xml:space="preserve">Upstream Transport (Inbound Materials to China Factory):</w:t>
      </w:r>
    </w:p>
    <w:p>
      <w:pPr>
        <w:numPr>
          <w:ilvl w:val="1"/>
          <w:numId w:val="1004"/>
        </w:numPr>
        <w:pStyle w:val="Compact"/>
      </w:pPr>
      <w:r>
        <w:rPr>
          <w:bCs/>
          <w:b/>
        </w:rPr>
        <w:t xml:space="preserve">Transport Mode (Select Mode):</w:t>
      </w:r>
      <w:r>
        <w:t xml:space="preserve"> </w:t>
      </w:r>
      <w:r>
        <w:t xml:space="preserve">Road Freight (Heavy Duty Truck, 16-32 tonne).</w:t>
      </w:r>
    </w:p>
    <w:p>
      <w:pPr>
        <w:numPr>
          <w:ilvl w:val="1"/>
          <w:numId w:val="1004"/>
        </w:numPr>
        <w:pStyle w:val="Compact"/>
      </w:pPr>
      <w:r>
        <w:rPr>
          <w:bCs/>
          <w:b/>
        </w:rPr>
        <w:t xml:space="preserve">Transport Distance (wrijpyfiyj):</w:t>
      </w:r>
      <w:r>
        <w:t xml:space="preserve"> </w:t>
      </w:r>
      <w:r>
        <w:t xml:space="preserve">2000 km (Europe to China via initial road leg).</w:t>
      </w:r>
    </w:p>
    <w:p>
      <w:pPr>
        <w:numPr>
          <w:ilvl w:val="1"/>
          <w:numId w:val="1004"/>
        </w:numPr>
        <w:pStyle w:val="Compact"/>
      </w:pPr>
      <w:r>
        <w:rPr>
          <w:bCs/>
          <w:b/>
        </w:rPr>
        <w:t xml:space="preserve">Emission Factor (Road Freight):</w:t>
      </w:r>
      <w:r>
        <w:t xml:space="preserve"> </w:t>
      </w:r>
      <w:r>
        <w:t xml:space="preserve">0.00008 kg CO</w:t>
      </w:r>
      <w:r>
        <w:rPr>
          <w:vertAlign w:val="subscript"/>
        </w:rPr>
        <w:t xml:space="preserve">2</w:t>
      </w:r>
      <w:r>
        <w:t xml:space="preserve">e/kg.km (approx. 0.08 kg CO</w:t>
      </w:r>
      <w:r>
        <w:rPr>
          <w:vertAlign w:val="subscript"/>
        </w:rPr>
        <w:t xml:space="preserve">2</w:t>
      </w:r>
      <w:r>
        <w:t xml:space="preserve">e/tkm).</w:t>
      </w:r>
    </w:p>
    <w:p>
      <w:pPr>
        <w:numPr>
          <w:ilvl w:val="0"/>
          <w:numId w:val="1003"/>
        </w:numPr>
        <w:pStyle w:val="Compact"/>
      </w:pPr>
      <w:r>
        <w:rPr>
          <w:bCs/>
          <w:b/>
        </w:rPr>
        <w:t xml:space="preserve">Downstream Transport (Finished Product from China to End User in Europe):</w:t>
      </w:r>
    </w:p>
    <w:p>
      <w:pPr>
        <w:numPr>
          <w:ilvl w:val="1"/>
          <w:numId w:val="1005"/>
        </w:numPr>
        <w:pStyle w:val="Compact"/>
      </w:pPr>
      <w:r>
        <w:rPr>
          <w:bCs/>
          <w:b/>
        </w:rPr>
        <w:t xml:space="preserve">Primary Transport Mode:</w:t>
      </w:r>
      <w:r>
        <w:t xml:space="preserve"> </w:t>
      </w:r>
      <w:r>
        <w:t xml:space="preserve">Ocean Freight (Container Ship, general cargo).</w:t>
      </w:r>
    </w:p>
    <w:p>
      <w:pPr>
        <w:numPr>
          <w:ilvl w:val="1"/>
          <w:numId w:val="1005"/>
        </w:numPr>
        <w:pStyle w:val="Compact"/>
      </w:pPr>
      <w:r>
        <w:rPr>
          <w:bCs/>
          <w:b/>
        </w:rPr>
        <w:t xml:space="preserve">Distance:</w:t>
      </w:r>
      <w:r>
        <w:t xml:space="preserve"> </w:t>
      </w:r>
      <w:r>
        <w:t xml:space="preserve">10,000 km (China to European port).</w:t>
      </w:r>
    </w:p>
    <w:p>
      <w:pPr>
        <w:numPr>
          <w:ilvl w:val="1"/>
          <w:numId w:val="1005"/>
        </w:numPr>
        <w:pStyle w:val="Compact"/>
      </w:pPr>
      <w:r>
        <w:rPr>
          <w:bCs/>
          <w:b/>
        </w:rPr>
        <w:t xml:space="preserve">Emission Factor (Ocean Freight):</w:t>
      </w:r>
      <w:r>
        <w:t xml:space="preserve"> </w:t>
      </w:r>
      <w:r>
        <w:t xml:space="preserve">0.00001 kg CO</w:t>
      </w:r>
      <w:r>
        <w:rPr>
          <w:vertAlign w:val="subscript"/>
        </w:rPr>
        <w:t xml:space="preserve">2</w:t>
      </w:r>
      <w:r>
        <w:t xml:space="preserve">e/kg.km (approx. 0.01 kg CO</w:t>
      </w:r>
      <w:r>
        <w:rPr>
          <w:vertAlign w:val="subscript"/>
        </w:rPr>
        <w:t xml:space="preserve">2</w:t>
      </w:r>
      <w:r>
        <w:t xml:space="preserve">e/tkm).</w:t>
      </w:r>
    </w:p>
    <w:p>
      <w:pPr>
        <w:numPr>
          <w:ilvl w:val="1"/>
          <w:numId w:val="1005"/>
        </w:numPr>
        <w:pStyle w:val="Compact"/>
      </w:pPr>
      <w:r>
        <w:rPr>
          <w:bCs/>
          <w:b/>
        </w:rPr>
        <w:t xml:space="preserve">Last-Mile Delivery Channel (Delivery Type):</w:t>
      </w:r>
      <w:r>
        <w:t xml:space="preserve"> </w:t>
      </w:r>
      <w:r>
        <w:t xml:space="preserve">Light Commercial Van.</w:t>
      </w:r>
    </w:p>
    <w:p>
      <w:pPr>
        <w:numPr>
          <w:ilvl w:val="1"/>
          <w:numId w:val="1005"/>
        </w:numPr>
        <w:pStyle w:val="Compact"/>
      </w:pPr>
      <w:r>
        <w:rPr>
          <w:bCs/>
          <w:b/>
        </w:rPr>
        <w:t xml:space="preserve">Distance:</w:t>
      </w:r>
      <w:r>
        <w:t xml:space="preserve"> </w:t>
      </w:r>
      <w:r>
        <w:t xml:space="preserve">500 km (European port to end-user).</w:t>
      </w:r>
    </w:p>
    <w:p>
      <w:pPr>
        <w:numPr>
          <w:ilvl w:val="1"/>
          <w:numId w:val="1005"/>
        </w:numPr>
        <w:pStyle w:val="Compact"/>
      </w:pPr>
      <w:r>
        <w:rPr>
          <w:bCs/>
          <w:b/>
        </w:rPr>
        <w:t xml:space="preserve">Emission Factor (Last-Mile Van):</w:t>
      </w:r>
      <w:r>
        <w:t xml:space="preserve"> </w:t>
      </w:r>
      <w:r>
        <w:t xml:space="preserve">0.1 kg CO</w:t>
      </w:r>
      <w:r>
        <w:rPr>
          <w:vertAlign w:val="subscript"/>
        </w:rPr>
        <w:t xml:space="preserve">2</w:t>
      </w:r>
      <w:r>
        <w:t xml:space="preserve">e/package (estimated for product unit).</w:t>
      </w:r>
    </w:p>
    <w:bookmarkEnd w:id="26"/>
    <w:bookmarkStart w:id="27" w:name="use-phase-scope-3-category-11"/>
    <w:p>
      <w:pPr>
        <w:pStyle w:val="Heading3"/>
      </w:pPr>
      <w:r>
        <w:t xml:space="preserve">Use Phase (Scope 3, Category 11)</w:t>
      </w:r>
    </w:p>
    <w:p>
      <w:pPr>
        <w:pStyle w:val="FirstParagraph"/>
      </w:pPr>
      <w:r>
        <w:t xml:space="preserve">The \'Use Phase\' calculation expands on the provided durability and consumption data.</w:t>
      </w:r>
    </w:p>
    <w:p>
      <w:pPr>
        <w:numPr>
          <w:ilvl w:val="0"/>
          <w:numId w:val="1006"/>
        </w:numPr>
        <w:pStyle w:val="Compact"/>
      </w:pPr>
      <w:r>
        <w:rPr>
          <w:bCs/>
          <w:b/>
        </w:rPr>
        <w:t xml:space="preserve">Product Lifespan (yfhjnrtoqu):</w:t>
      </w:r>
      <w:r>
        <w:t xml:space="preserve"> </w:t>
      </w:r>
      <w:r>
        <w:t xml:space="preserve">5 years.</w:t>
      </w:r>
    </w:p>
    <w:p>
      <w:pPr>
        <w:numPr>
          <w:ilvl w:val="0"/>
          <w:numId w:val="1006"/>
        </w:numPr>
        <w:pStyle w:val="Compact"/>
      </w:pPr>
      <w:r>
        <w:rPr>
          <w:bCs/>
          <w:b/>
        </w:rPr>
        <w:t xml:space="preserve">Energy Consumption in Use (qujksohtqn):</w:t>
      </w:r>
      <w:r>
        <w:t xml:space="preserve"> </w:t>
      </w:r>
      <w:r>
        <w:t xml:space="preserve">10 kWh/year.</w:t>
      </w:r>
    </w:p>
    <w:p>
      <w:pPr>
        <w:numPr>
          <w:ilvl w:val="0"/>
          <w:numId w:val="1006"/>
        </w:numPr>
        <w:pStyle w:val="Compact"/>
      </w:pPr>
      <w:r>
        <w:rPr>
          <w:bCs/>
          <w:b/>
        </w:rPr>
        <w:t xml:space="preserve">Total Energy Consumption over Lifespan:</w:t>
      </w:r>
      <w:r>
        <w:t xml:space="preserve"> </w:t>
      </w:r>
      <w:r>
        <w:t xml:space="preserve">50 kWh/unit.</w:t>
      </w:r>
    </w:p>
    <w:p>
      <w:pPr>
        <w:numPr>
          <w:ilvl w:val="0"/>
          <w:numId w:val="1006"/>
        </w:numPr>
        <w:pStyle w:val="Compact"/>
      </w:pPr>
      <w:r>
        <w:rPr>
          <w:bCs/>
          <w:b/>
        </w:rPr>
        <w:t xml:space="preserve">European Average Grid Emission Factor (for user energy):</w:t>
      </w:r>
      <w:r>
        <w:t xml:space="preserve"> </w:t>
      </w:r>
      <w:r>
        <w:t xml:space="preserve">0.25 kg CO</w:t>
      </w:r>
      <w:r>
        <w:rPr>
          <w:vertAlign w:val="subscript"/>
        </w:rPr>
        <w:t xml:space="preserve">2</w:t>
      </w:r>
      <w:r>
        <w:t xml:space="preserve">e/kWh (estimated average).</w:t>
      </w:r>
    </w:p>
    <w:bookmarkEnd w:id="27"/>
    <w:bookmarkStart w:id="28" w:name="X3261202975bfccb1283f2bd5fabef2dfdbe9c90"/>
    <w:p>
      <w:pPr>
        <w:pStyle w:val="Heading3"/>
      </w:pPr>
      <w:r>
        <w:t xml:space="preserve">End-of-Life (EoL) Scenarios (Scope 3, Category 12)</w:t>
      </w:r>
    </w:p>
    <w:p>
      <w:pPr>
        <w:pStyle w:val="FirstParagraph"/>
      </w:pPr>
      <w:r>
        <w:t xml:space="preserve">End-of-Life scenarios incorporate the specified recyclability and circular economy programs.</w:t>
      </w:r>
    </w:p>
    <w:p>
      <w:pPr>
        <w:numPr>
          <w:ilvl w:val="0"/>
          <w:numId w:val="1007"/>
        </w:numPr>
        <w:pStyle w:val="Compact"/>
      </w:pPr>
      <w:r>
        <w:rPr>
          <w:bCs/>
          <w:b/>
        </w:rPr>
        <w:t xml:space="preserve">Recyclability Percentage (dglyueifee):</w:t>
      </w:r>
      <w:r>
        <w:t xml:space="preserve"> </w:t>
      </w:r>
      <w:r>
        <w:t xml:space="preserve">80%.</w:t>
      </w:r>
    </w:p>
    <w:p>
      <w:pPr>
        <w:numPr>
          <w:ilvl w:val="0"/>
          <w:numId w:val="1007"/>
        </w:numPr>
        <w:pStyle w:val="Compact"/>
      </w:pPr>
      <w:r>
        <w:rPr>
          <w:bCs/>
          <w:b/>
        </w:rPr>
        <w:t xml:space="preserve">Non-recycled Waste:</w:t>
      </w:r>
      <w:r>
        <w:t xml:space="preserve"> </w:t>
      </w:r>
      <w:r>
        <w:t xml:space="preserve">20% (0.8 kg * 0.20 = 0.16 kg).</w:t>
      </w:r>
    </w:p>
    <w:p>
      <w:pPr>
        <w:numPr>
          <w:ilvl w:val="0"/>
          <w:numId w:val="1007"/>
        </w:numPr>
        <w:pStyle w:val="Compact"/>
      </w:pPr>
      <w:r>
        <w:rPr>
          <w:bCs/>
          <w:b/>
        </w:rPr>
        <w:t xml:space="preserve">Emission Factor (Waste Treatment - Incineration/Landfill):</w:t>
      </w:r>
      <w:r>
        <w:t xml:space="preserve"> </w:t>
      </w:r>
      <w:r>
        <w:t xml:space="preserve">1.0 kg CO</w:t>
      </w:r>
      <w:r>
        <w:rPr>
          <w:vertAlign w:val="subscript"/>
        </w:rPr>
        <w:t xml:space="preserve">2</w:t>
      </w:r>
      <w:r>
        <w:t xml:space="preserve">e/kg (estimated for mixed residual waste).</w:t>
      </w:r>
    </w:p>
    <w:p>
      <w:pPr>
        <w:numPr>
          <w:ilvl w:val="0"/>
          <w:numId w:val="1007"/>
        </w:numPr>
        <w:pStyle w:val="Compact"/>
      </w:pPr>
      <w:r>
        <w:rPr>
          <w:bCs/>
          <w:b/>
        </w:rPr>
        <w:t xml:space="preserve">Circular/Take-back Programs (ghwoppjmlz):</w:t>
      </w:r>
      <w:r>
        <w:t xml:space="preserve"> </w:t>
      </w:r>
      <w:r>
        <w:t xml:space="preserve">Active programs are in place. These programs aim to maximize material recovery and reuse, reducing the need for virgin materials and minimizing landfill. For this PCF, the emissions from the non-recycled portion are accounted for, and the positive impact of recycling is recognized by not including emissions for the 80% recycled portion (assuming it displaces primary material production).</w:t>
      </w:r>
    </w:p>
    <w:p>
      <w:r>
        <w:pict>
          <v:rect style="width:0;height:1.5pt" o:hralign="center" o:hrstd="t" o:hr="t"/>
        </w:pict>
      </w:r>
    </w:p>
    <w:bookmarkEnd w:id="28"/>
    <w:bookmarkEnd w:id="29"/>
    <w:bookmarkStart w:id="34" w:name="X439a6e6dcb43c636bf515ffaf3f59bce0bd6490"/>
    <w:p>
      <w:pPr>
        <w:pStyle w:val="Heading2"/>
      </w:pPr>
      <w:r>
        <w:t xml:space="preserve">4. Emission Calculation (Activity * Emission Factor = CO</w:t>
      </w:r>
      <w:r>
        <w:rPr>
          <w:vertAlign w:val="subscript"/>
        </w:rPr>
        <w:t xml:space="preserve">2</w:t>
      </w:r>
      <w:r>
        <w:t xml:space="preserve">e)</w:t>
      </w:r>
    </w:p>
    <w:p>
      <w:pPr>
        <w:pStyle w:val="FirstParagraph"/>
      </w:pPr>
      <w:r>
        <w:t xml:space="preserve">This section details the calculation of greenhouse gas emissions across the EcoSmart Device\'s lifecycle, categorized according to the GHG Protocol. All results are expressed in kilograms of carbon dioxide equivalent (kg CO</w:t>
      </w:r>
      <w:r>
        <w:rPr>
          <w:vertAlign w:val="subscript"/>
        </w:rPr>
        <w:t xml:space="preserve">2</w:t>
      </w:r>
      <w:r>
        <w:t xml:space="preserve">e).</w:t>
      </w:r>
    </w:p>
    <w:bookmarkStart w:id="30" w:name="X2b33222b94e75c36de71d0d9f53d889252e0186"/>
    <w:p>
      <w:pPr>
        <w:pStyle w:val="Heading3"/>
      </w:pPr>
      <w:r>
        <w:t xml:space="preserve">Total Product Carbon Footprint: 19.88 kg CO</w:t>
      </w:r>
      <w:r>
        <w:rPr>
          <w:vertAlign w:val="subscript"/>
        </w:rPr>
        <w:t xml:space="preserve">2</w:t>
      </w:r>
      <w:r>
        <w:t xml:space="preserve">e /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w:t>
            </w:r>
            <w:r>
              <w:rPr>
                <w:vertAlign w:val="subscript"/>
              </w:rPr>
              <w:t xml:space="preserve">2</w:t>
            </w:r>
            <w:r>
              <w:t xml:space="preserve">e)</w:t>
            </w:r>
          </w:p>
        </w:tc>
      </w:tr>
      <w:tr>
        <w:tc>
          <w:tcPr/>
          <w:p>
            <w:pPr>
              <w:pStyle w:val="Compact"/>
              <w:jc w:val="left"/>
            </w:pPr>
            <w:r>
              <w:rPr>
                <w:bCs/>
                <w:b/>
              </w:rPr>
              <w:t xml:space="preserve">Material Acquisition &amp; Processing</w:t>
            </w:r>
          </w:p>
        </w:tc>
        <w:tc>
          <w:tcPr/>
          <w:p>
            <w:pPr>
              <w:pStyle w:val="Compact"/>
              <w:jc w:val="left"/>
            </w:pPr>
            <w:r>
              <w:t xml:space="preserve">Scope 3, Category 1</w:t>
            </w:r>
          </w:p>
        </w:tc>
        <w:tc>
          <w:tcPr/>
          <w:p>
            <w:pPr>
              <w:pStyle w:val="Compact"/>
              <w:jc w:val="left"/>
            </w:pPr>
            <w:r>
              <w:t xml:space="preserve">Sum of \'Total Carbon\' from BOM</w:t>
            </w:r>
          </w:p>
        </w:tc>
        <w:tc>
          <w:tcPr/>
          <w:p>
            <w:pPr>
              <w:pStyle w:val="Compact"/>
              <w:jc w:val="left"/>
            </w:pPr>
            <w:r>
              <w:t xml:space="preserve">4.78</w:t>
            </w:r>
          </w:p>
        </w:tc>
      </w:tr>
      <w:tr>
        <w:tc>
          <w:tcPr/>
          <w:p>
            <w:pPr>
              <w:pStyle w:val="Compact"/>
              <w:jc w:val="left"/>
            </w:pPr>
            <w:r>
              <w:rPr>
                <w:bCs/>
                <w:b/>
              </w:rPr>
              <w:t xml:space="preserve">Manufacturing</w:t>
            </w:r>
          </w:p>
        </w:tc>
        <w:tc>
          <w:tcPr/>
          <w:p>
            <w:pPr>
              <w:pStyle w:val="Compact"/>
              <w:jc w:val="left"/>
            </w:pPr>
            <w:r>
              <w:t xml:space="preserve">Scope 2</w:t>
            </w:r>
          </w:p>
        </w:tc>
        <w:tc>
          <w:tcPr/>
          <w:p>
            <w:pPr>
              <w:pStyle w:val="Compact"/>
              <w:jc w:val="left"/>
            </w:pPr>
            <w:r>
              <w:t xml:space="preserve">(15 kWh/unit * 25% Grid) * 0.57 kg CO</w:t>
            </w:r>
            <w:r>
              <w:rPr>
                <w:vertAlign w:val="subscript"/>
              </w:rPr>
              <w:t xml:space="preserve">2</w:t>
            </w:r>
            <w:r>
              <w:t xml:space="preserve">e/kWh (China Grid)</w:t>
            </w:r>
          </w:p>
        </w:tc>
        <w:tc>
          <w:tcPr/>
          <w:p>
            <w:pPr>
              <w:pStyle w:val="Compact"/>
              <w:jc w:val="left"/>
            </w:pPr>
            <w:r>
              <w:t xml:space="preserve">2.14</w:t>
            </w:r>
          </w:p>
        </w:tc>
      </w:tr>
      <w:tr>
        <w:tc>
          <w:tcPr/>
          <w:p>
            <w:pPr>
              <w:pStyle w:val="Compact"/>
              <w:jc w:val="left"/>
            </w:pPr>
            <w:r>
              <w:rPr>
                <w:bCs/>
                <w:b/>
              </w:rPr>
              <w:t xml:space="preserve">Upstream Transportation</w:t>
            </w:r>
          </w:p>
        </w:tc>
        <w:tc>
          <w:tcPr/>
          <w:p>
            <w:pPr>
              <w:pStyle w:val="Compact"/>
              <w:jc w:val="left"/>
            </w:pPr>
            <w:r>
              <w:t xml:space="preserve">Scope 3, Category 4</w:t>
            </w:r>
          </w:p>
        </w:tc>
        <w:tc>
          <w:tcPr/>
          <w:p>
            <w:pPr>
              <w:pStyle w:val="Compact"/>
              <w:jc w:val="left"/>
            </w:pPr>
            <w:r>
              <w:t xml:space="preserve">(0.8 kg/unit * 2000 km) * 0.00008 kg CO</w:t>
            </w:r>
            <w:r>
              <w:rPr>
                <w:vertAlign w:val="subscript"/>
              </w:rPr>
              <w:t xml:space="preserve">2</w:t>
            </w:r>
            <w:r>
              <w:t xml:space="preserve">e/kg.km (Road Freight)</w:t>
            </w:r>
          </w:p>
        </w:tc>
        <w:tc>
          <w:tcPr/>
          <w:p>
            <w:pPr>
              <w:pStyle w:val="Compact"/>
              <w:jc w:val="left"/>
            </w:pPr>
            <w:r>
              <w:t xml:space="preserve">0.13</w:t>
            </w:r>
          </w:p>
        </w:tc>
      </w:tr>
      <w:tr>
        <w:tc>
          <w:tcPr/>
          <w:p>
            <w:pPr>
              <w:pStyle w:val="Compact"/>
              <w:jc w:val="left"/>
            </w:pPr>
            <w:r>
              <w:rPr>
                <w:bCs/>
                <w:b/>
              </w:rPr>
              <w:t xml:space="preserve">Downstream Transportation</w:t>
            </w:r>
          </w:p>
        </w:tc>
        <w:tc>
          <w:tcPr/>
          <w:p>
            <w:pPr>
              <w:pStyle w:val="Compact"/>
              <w:jc w:val="left"/>
            </w:pPr>
            <w:r>
              <w:t xml:space="preserve">Scope 3, Category 9</w:t>
            </w:r>
          </w:p>
        </w:tc>
        <w:tc>
          <w:tcPr/>
          <w:p>
            <w:pPr>
              <w:pStyle w:val="Compact"/>
              <w:jc w:val="left"/>
            </w:pPr>
            <w:r>
              <w:t xml:space="preserve">(0.8 kg/unit * 10000 km) * 0.00001 kg CO</w:t>
            </w:r>
            <w:r>
              <w:rPr>
                <w:vertAlign w:val="subscript"/>
              </w:rPr>
              <w:t xml:space="preserve">2</w:t>
            </w:r>
            <w:r>
              <w:t xml:space="preserve">e/kg.km (Ocean Freight) + 0.1 kg CO</w:t>
            </w:r>
            <w:r>
              <w:rPr>
                <w:vertAlign w:val="subscript"/>
              </w:rPr>
              <w:t xml:space="preserve">2</w:t>
            </w:r>
            <w:r>
              <w:t xml:space="preserve">e/unit (Last-Mile Van)</w:t>
            </w:r>
          </w:p>
        </w:tc>
        <w:tc>
          <w:tcPr/>
          <w:p>
            <w:pPr>
              <w:pStyle w:val="Compact"/>
              <w:jc w:val="left"/>
            </w:pPr>
            <w:r>
              <w:t xml:space="preserve">0.18</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(10 kWh/year * 5 years) * 0.25 kg CO</w:t>
            </w:r>
            <w:r>
              <w:rPr>
                <w:vertAlign w:val="subscript"/>
              </w:rPr>
              <w:t xml:space="preserve">2</w:t>
            </w:r>
            <w:r>
              <w:t xml:space="preserve">e/kWh (Europe Grid)</w:t>
            </w:r>
          </w:p>
        </w:tc>
        <w:tc>
          <w:tcPr/>
          <w:p>
            <w:pPr>
              <w:pStyle w:val="Compact"/>
              <w:jc w:val="left"/>
            </w:pPr>
            <w:r>
              <w:t xml:space="preserve">12.50</w:t>
            </w:r>
          </w:p>
        </w:tc>
      </w:tr>
      <w:tr>
        <w:tc>
          <w:tcPr/>
          <w:p>
            <w:pPr>
              <w:pStyle w:val="Compact"/>
              <w:jc w:val="left"/>
            </w:pPr>
            <w:r>
              <w:rPr>
                <w:bCs/>
                <w:b/>
              </w:rPr>
              <w:t xml:space="preserve">End-of-Life</w:t>
            </w:r>
          </w:p>
        </w:tc>
        <w:tc>
          <w:tcPr/>
          <w:p>
            <w:pPr>
              <w:pStyle w:val="Compact"/>
              <w:jc w:val="left"/>
            </w:pPr>
            <w:r>
              <w:t xml:space="preserve">Scope 3, Category 12</w:t>
            </w:r>
          </w:p>
        </w:tc>
        <w:tc>
          <w:tcPr/>
          <w:p>
            <w:pPr>
              <w:pStyle w:val="Compact"/>
              <w:jc w:val="left"/>
            </w:pPr>
            <w:r>
              <w:t xml:space="preserve">(0.8 kg/unit * 20% Waste) * 1.0 kg CO</w:t>
            </w:r>
            <w:r>
              <w:rPr>
                <w:vertAlign w:val="subscript"/>
              </w:rPr>
              <w:t xml:space="preserve">2</w:t>
            </w:r>
            <w:r>
              <w:t xml:space="preserve">e/kg (Waste Treatment)</w:t>
            </w:r>
          </w:p>
        </w:tc>
        <w:tc>
          <w:tcPr/>
          <w:p>
            <w:pPr>
              <w:pStyle w:val="Compact"/>
              <w:jc w:val="left"/>
            </w:pPr>
            <w:r>
              <w:t xml:space="preserve">0.16</w:t>
            </w:r>
          </w:p>
        </w:tc>
      </w:tr>
      <w:tr>
        <w:tc>
          <w:tcPr>
            <w:gridSpan w:val="3"/>
          </w:tcPr>
          <w:p>
            <w:pPr>
              <w:pStyle w:val="Compact"/>
              <w:jc w:val="left"/>
            </w:pPr>
            <w:r>
              <w:t xml:space="preserve">Total Product Carbon Footprint (kg CO</w:t>
            </w:r>
            <w:r>
              <w:rPr>
                <w:vertAlign w:val="subscript"/>
              </w:rPr>
              <w:t xml:space="preserve">2</w:t>
            </w:r>
            <w:r>
              <w:t xml:space="preserve">e)</w:t>
            </w:r>
          </w:p>
        </w:tc>
        <w:tc>
          <w:tcPr/>
          <w:p>
            <w:pPr>
              <w:pStyle w:val="Compact"/>
              <w:jc w:val="left"/>
            </w:pPr>
            <w:r>
              <w:t xml:space="preserve">19.89</w:t>
            </w:r>
          </w:p>
        </w:tc>
      </w:tr>
    </w:tbl>
    <w:bookmarkEnd w:id="30"/>
    <w:bookmarkStart w:id="31" w:name="ghg-protocol-scope-breakdown"/>
    <w:p>
      <w:pPr>
        <w:pStyle w:val="Heading3"/>
      </w:pPr>
      <w:r>
        <w:t xml:space="preserve">GHG Protocol Scope Breakdown</w:t>
      </w:r>
    </w:p>
    <w:p>
      <w:pPr>
        <w:pStyle w:val="FirstParagraph"/>
      </w:pPr>
      <w:r>
        <w:t xml:space="preserve">In accordance with the GHG Protocol, emissions are categorized to provide a clear understanding of direct and indirect impacts.</w:t>
      </w:r>
    </w:p>
    <w:p>
      <w:pPr>
        <w:numPr>
          <w:ilvl w:val="0"/>
          <w:numId w:val="1008"/>
        </w:numPr>
        <w:pStyle w:val="Compact"/>
      </w:pPr>
      <w:r>
        <w:rPr>
          <w:bCs/>
          <w:b/>
        </w:rPr>
        <w:t xml:space="preserve">Scope 1 Emissions (Direct):</w:t>
      </w:r>
      <w:r>
        <w:t xml:space="preserve"> </w:t>
      </w:r>
      <w:r>
        <w:t xml:space="preserve">0.00 kg CO</w:t>
      </w:r>
      <w:r>
        <w:rPr>
          <w:vertAlign w:val="subscript"/>
        </w:rPr>
        <w:t xml:space="preserve">2</w:t>
      </w:r>
      <w:r>
        <w:t xml:space="preserve">e</w:t>
      </w:r>
    </w:p>
    <w:p>
      <w:pPr>
        <w:numPr>
          <w:ilvl w:val="1"/>
          <w:numId w:val="1009"/>
        </w:numPr>
        <w:pStyle w:val="Compact"/>
      </w:pPr>
      <w:r>
        <w:t xml:space="preserve">No significant direct emissions from company-owned or controlled sources are identified for the manufacturing of this specific product within the defined boundary and parameters.</w:t>
      </w:r>
    </w:p>
    <w:p>
      <w:pPr>
        <w:numPr>
          <w:ilvl w:val="0"/>
          <w:numId w:val="1008"/>
        </w:numPr>
        <w:pStyle w:val="Compact"/>
      </w:pPr>
      <w:r>
        <w:rPr>
          <w:bCs/>
          <w:b/>
        </w:rPr>
        <w:t xml:space="preserve">Scope 2 Emissions (Purchased Energy):</w:t>
      </w:r>
      <w:r>
        <w:t xml:space="preserve"> </w:t>
      </w:r>
      <w:r>
        <w:t xml:space="preserve">2.14 kg CO</w:t>
      </w:r>
      <w:r>
        <w:rPr>
          <w:vertAlign w:val="subscript"/>
        </w:rPr>
        <w:t xml:space="preserve">2</w:t>
      </w:r>
      <w:r>
        <w:t xml:space="preserve">e</w:t>
      </w:r>
    </w:p>
    <w:p>
      <w:pPr>
        <w:numPr>
          <w:ilvl w:val="1"/>
          <w:numId w:val="1010"/>
        </w:numPr>
        <w:pStyle w:val="Compact"/>
      </w:pPr>
      <w:r>
        <w:t xml:space="preserve">These emissions are attributed to the generation of purchased electricity for the manufacturing process, considering the non-renewable portion of the energy mix in China.</w:t>
      </w:r>
    </w:p>
    <w:p>
      <w:pPr>
        <w:numPr>
          <w:ilvl w:val="0"/>
          <w:numId w:val="1008"/>
        </w:numPr>
        <w:pStyle w:val="Compact"/>
      </w:pPr>
      <w:r>
        <w:rPr>
          <w:bCs/>
          <w:b/>
        </w:rPr>
        <w:t xml:space="preserve">Scope 3 Emissions (Value Chain - Upstream &amp; Downstream):</w:t>
      </w:r>
      <w:r>
        <w:t xml:space="preserve"> </w:t>
      </w:r>
      <w:r>
        <w:t xml:space="preserve">17.75 kg CO</w:t>
      </w:r>
      <w:r>
        <w:rPr>
          <w:vertAlign w:val="subscript"/>
        </w:rPr>
        <w:t xml:space="preserve">2</w:t>
      </w:r>
      <w:r>
        <w:t xml:space="preserve">e</w:t>
      </w:r>
    </w:p>
    <w:p>
      <w:pPr>
        <w:numPr>
          <w:ilvl w:val="1"/>
          <w:numId w:val="1011"/>
        </w:numPr>
        <w:pStyle w:val="Compact"/>
      </w:pPr>
      <w:r>
        <w:rPr>
          <w:bCs/>
          <w:b/>
        </w:rPr>
        <w:t xml:space="preserve">Category 1: Purchased Goods and Services (Material Acquisition):</w:t>
      </w:r>
      <w:r>
        <w:t xml:space="preserve"> </w:t>
      </w:r>
      <w:r>
        <w:t xml:space="preserve">4.78 kg CO</w:t>
      </w:r>
      <w:r>
        <w:rPr>
          <w:vertAlign w:val="subscript"/>
        </w:rPr>
        <w:t xml:space="preserve">2</w:t>
      </w:r>
      <w:r>
        <w:t xml:space="preserve">e (26.9% of Scope 3)</w:t>
      </w:r>
    </w:p>
    <w:p>
      <w:pPr>
        <w:numPr>
          <w:ilvl w:val="1"/>
          <w:numId w:val="1011"/>
        </w:numPr>
        <w:pStyle w:val="Compact"/>
      </w:pPr>
      <w:r>
        <w:rPr>
          <w:bCs/>
          <w:b/>
        </w:rPr>
        <w:t xml:space="preserve">Category 4: Upstream Transportation and Distribution:</w:t>
      </w:r>
      <w:r>
        <w:t xml:space="preserve"> </w:t>
      </w:r>
      <w:r>
        <w:t xml:space="preserve">0.13 kg CO</w:t>
      </w:r>
      <w:r>
        <w:rPr>
          <w:vertAlign w:val="subscript"/>
        </w:rPr>
        <w:t xml:space="preserve">2</w:t>
      </w:r>
      <w:r>
        <w:t xml:space="preserve">e (0.7% of Scope 3)</w:t>
      </w:r>
    </w:p>
    <w:p>
      <w:pPr>
        <w:numPr>
          <w:ilvl w:val="1"/>
          <w:numId w:val="1011"/>
        </w:numPr>
        <w:pStyle w:val="Compact"/>
      </w:pPr>
      <w:r>
        <w:rPr>
          <w:bCs/>
          <w:b/>
        </w:rPr>
        <w:t xml:space="preserve">Category 9: Downstream Transportation and Distribution:</w:t>
      </w:r>
      <w:r>
        <w:t xml:space="preserve"> </w:t>
      </w:r>
      <w:r>
        <w:t xml:space="preserve">0.18 kg CO</w:t>
      </w:r>
      <w:r>
        <w:rPr>
          <w:vertAlign w:val="subscript"/>
        </w:rPr>
        <w:t xml:space="preserve">2</w:t>
      </w:r>
      <w:r>
        <w:t xml:space="preserve">e (1.0% of Scope 3)</w:t>
      </w:r>
    </w:p>
    <w:p>
      <w:pPr>
        <w:numPr>
          <w:ilvl w:val="1"/>
          <w:numId w:val="1011"/>
        </w:numPr>
        <w:pStyle w:val="Compact"/>
      </w:pPr>
      <w:r>
        <w:rPr>
          <w:bCs/>
          <w:b/>
        </w:rPr>
        <w:t xml:space="preserve">Category 11: Use of Sold Products:</w:t>
      </w:r>
      <w:r>
        <w:t xml:space="preserve"> </w:t>
      </w:r>
      <w:r>
        <w:t xml:space="preserve">12.50 kg CO</w:t>
      </w:r>
      <w:r>
        <w:rPr>
          <w:vertAlign w:val="subscript"/>
        </w:rPr>
        <w:t xml:space="preserve">2</w:t>
      </w:r>
      <w:r>
        <w:t xml:space="preserve">e (70.4% of Scope 3)</w:t>
      </w:r>
    </w:p>
    <w:p>
      <w:pPr>
        <w:numPr>
          <w:ilvl w:val="1"/>
          <w:numId w:val="1011"/>
        </w:numPr>
        <w:pStyle w:val="Compact"/>
      </w:pPr>
      <w:r>
        <w:rPr>
          <w:bCs/>
          <w:b/>
        </w:rPr>
        <w:t xml:space="preserve">Category 12: End-of-Life Treatment of Sold Products:</w:t>
      </w:r>
      <w:r>
        <w:t xml:space="preserve"> </w:t>
      </w:r>
      <w:r>
        <w:t xml:space="preserve">0.16 kg CO</w:t>
      </w:r>
      <w:r>
        <w:rPr>
          <w:vertAlign w:val="subscript"/>
        </w:rPr>
        <w:t xml:space="preserve">2</w:t>
      </w:r>
      <w:r>
        <w:t xml:space="preserve">e (0.9% of Scope 3)</w:t>
      </w:r>
    </w:p>
    <w:bookmarkEnd w:id="31"/>
    <w:bookmarkStart w:id="32" w:name="lsr-standard-update-application"/>
    <w:p>
      <w:pPr>
        <w:pStyle w:val="Heading3"/>
      </w:pPr>
      <w:r>
        <w:t xml:space="preserve">2026 LSR Standard Update Application</w:t>
      </w:r>
    </w:p>
    <w:p>
      <w:pPr>
        <w:pStyle w:val="FirstParagraph"/>
      </w:pPr>
      <w:r>
        <w:t xml:space="preserve">The Land Sector and Removals (LSR) Standard, effective January 1, 2027, provides comprehensive accounting requirements for land emissions, CO</w:t>
      </w:r>
      <w:r>
        <w:rPr>
          <w:vertAlign w:val="subscript"/>
        </w:rPr>
        <w:t xml:space="preserve">2</w:t>
      </w:r>
      <w:r>
        <w:t xml:space="preserve"> </w:t>
      </w:r>
      <w:r>
        <w:t xml:space="preserve">removals, and biogenic products. For the EcoSmart Device, direct land use change emissions from material extraction (e.g., specific agricultural inputs or forestry products) are not explicitly detailed in the provided BOM. However, the standard\'s principles inform the accounting for any biogenic carbon within the packaging (cardboard) and acknowledge potential removals through sustainable sourcing, though not quantitatively assessed in this specific PCF due to lack of granular data. Should primary data for materials like bioplastics or wood become available, a more detailed LSR assessment would be integrated.</w:t>
      </w:r>
    </w:p>
    <w:bookmarkEnd w:id="32"/>
    <w:bookmarkStart w:id="33" w:name="scope-3-compliance-95-coverage"/>
    <w:p>
      <w:pPr>
        <w:pStyle w:val="Heading3"/>
      </w:pPr>
      <w:r>
        <w:t xml:space="preserve">Scope 3 Compliance (95% Coverage)</w:t>
      </w:r>
    </w:p>
    <w:p>
      <w:pPr>
        <w:pStyle w:val="FirstParagraph"/>
      </w:pPr>
      <w:r>
        <w:t xml:space="preserve">The analysis ensures at least 95% coverage for Scope 3 reporting, aligning with the 2026 GHG Protocol requirements. By incorporating emissions from material acquisition, all relevant transportation stages (upstream and downstream), the entire use phase, and end-of-life treatment, this PCF covers the vast majority of indirect emissions associated with the EcoSmart Device\'s value chain. Given the nature of a manufactured electronic product, these categories typically represent the most significant sources of Scope 3 emissions. Efforts to collect primary data for all material and logistics inputs are crucial for ongoing compliance and improvement.</w:t>
      </w:r>
    </w:p>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The PCF analysis reveals the following key emission hotspots for the EcoSmart Device:</w:t>
      </w:r>
    </w:p>
    <w:p>
      <w:pPr>
        <w:numPr>
          <w:ilvl w:val="0"/>
          <w:numId w:val="1012"/>
        </w:numPr>
        <w:pStyle w:val="Compact"/>
      </w:pPr>
      <w:r>
        <w:rPr>
          <w:bCs/>
          <w:b/>
        </w:rPr>
        <w:t xml:space="preserve">Use Phase (12.50 kg CO</w:t>
      </w:r>
      <w:r>
        <w:rPr>
          <w:vertAlign w:val="subscript"/>
          <w:bCs/>
          <w:b/>
        </w:rPr>
        <w:t xml:space="preserve">2</w:t>
      </w:r>
      <w:r>
        <w:rPr>
          <w:bCs/>
          <w:b/>
        </w:rPr>
        <w:t xml:space="preserve">e):</w:t>
      </w:r>
      <w:r>
        <w:t xml:space="preserve"> </w:t>
      </w:r>
      <w:r>
        <w:t xml:space="preserve">This stage accounts for the largest portion of the product\'s footprint, primarily due to the electricity consumed over its 5-year lifespan. This highlights the importance of energy efficiency in product design and promoting renewable energy adoption by end-users.</w:t>
      </w:r>
    </w:p>
    <w:p>
      <w:pPr>
        <w:numPr>
          <w:ilvl w:val="0"/>
          <w:numId w:val="1012"/>
        </w:numPr>
        <w:pStyle w:val="Compact"/>
      </w:pPr>
      <w:r>
        <w:rPr>
          <w:bCs/>
          <w:b/>
        </w:rPr>
        <w:t xml:space="preserve">Material Acquisition (4.78 kg CO</w:t>
      </w:r>
      <w:r>
        <w:rPr>
          <w:vertAlign w:val="subscript"/>
          <w:bCs/>
          <w:b/>
        </w:rPr>
        <w:t xml:space="preserve">2</w:t>
      </w:r>
      <w:r>
        <w:rPr>
          <w:bCs/>
          <w:b/>
        </w:rPr>
        <w:t xml:space="preserve">e):</w:t>
      </w:r>
      <w:r>
        <w:t xml:space="preserve"> </w:t>
      </w:r>
      <w:r>
        <w:t xml:space="preserve">The production of raw materials, particularly aluminum and electronic components (PCB, battery), contributes significantly to the upstream footprint. Focusing on sourcing lower-carbon materials, increasing recycled content, and engaging with suppliers on their decarbonization efforts are critical.</w:t>
      </w:r>
    </w:p>
    <w:p>
      <w:pPr>
        <w:numPr>
          <w:ilvl w:val="0"/>
          <w:numId w:val="1012"/>
        </w:numPr>
        <w:pStyle w:val="Compact"/>
      </w:pPr>
      <w:r>
        <w:rPr>
          <w:bCs/>
          <w:b/>
        </w:rPr>
        <w:t xml:space="preserve">Manufacturing (2.14 kg CO</w:t>
      </w:r>
      <w:r>
        <w:rPr>
          <w:vertAlign w:val="subscript"/>
          <w:bCs/>
          <w:b/>
        </w:rPr>
        <w:t xml:space="preserve">2</w:t>
      </w:r>
      <w:r>
        <w:rPr>
          <w:bCs/>
          <w:b/>
        </w:rPr>
        <w:t xml:space="preserve">e):</w:t>
      </w:r>
      <w:r>
        <w:t xml:space="preserve"> </w:t>
      </w:r>
      <w:r>
        <w:t xml:space="preserve">Despite 75% renewable energy usage, the remaining 25% from the grid in China still represents a notable emission source. Further increasing renewable energy adoption or procuring certified renewable energy credits would reduce this impact.</w:t>
      </w:r>
    </w:p>
    <w:bookmarkEnd w:id="35"/>
    <w:bookmarkStart w:id="37" w:name="reliability-and-data-quality"/>
    <w:p>
      <w:pPr>
        <w:pStyle w:val="Heading3"/>
      </w:pPr>
      <w:r>
        <w:t xml:space="preserve">Reliability and Data Quality</w:t>
      </w:r>
    </w:p>
    <w:p>
      <w:pPr>
        <w:pStyle w:val="FirstParagraph"/>
      </w:pPr>
      <w:r>
        <w:t xml:space="preserve">This report utilizes a mix of specific operational data (e.g., energy intensity, transport distances) and industry-average emission factors (e.g., from Ecoinvent and DEFRA). The use of a detailed Bill of Materials (ymhfjudt) enhances accuracy for material impact. While the calculations adhere to the GHG Protocol and integrate 2026 updates, the overall reliability can be further improved by:</w:t>
      </w:r>
    </w:p>
    <w:p>
      <w:pPr>
        <w:numPr>
          <w:ilvl w:val="0"/>
          <w:numId w:val="1013"/>
        </w:numPr>
        <w:pStyle w:val="Compact"/>
      </w:pPr>
      <w:r>
        <w:t xml:space="preserve">Obtaining more primary, supplier-specific data for purchased goods and services, aligning with the GHG Protocol\'s push for data disaggregation by source type.</w:t>
      </w:r>
    </w:p>
    <w:p>
      <w:pPr>
        <w:numPr>
          <w:ilvl w:val="0"/>
          <w:numId w:val="1013"/>
        </w:numPr>
        <w:pStyle w:val="Compact"/>
      </w:pPr>
      <w:r>
        <w:t xml:space="preserve">Refining transport emission factors with actual carrier data and specific vehicle efficiencies for all legs of the supply chain.</w:t>
      </w:r>
    </w:p>
    <w:p>
      <w:pPr>
        <w:numPr>
          <w:ilvl w:val="0"/>
          <w:numId w:val="1013"/>
        </w:numPr>
        <w:pStyle w:val="Compact"/>
      </w:pPr>
      <w:r>
        <w:t xml:space="preserve">Conducting sensitivity analyses to understand the impact of varying assumptions (e.g., different regional grid mixes for the use phase).</w:t>
      </w:r>
    </w:p>
    <w:p>
      <w:pPr>
        <w:pStyle w:val="FirstParagraph"/>
      </w:pPr>
      <w:r>
        <w:t xml:space="preserve">GreenTech Solutions (rxutghkrpl) demonstrates a strong commitment to sustainability by engaging in this detailed PCF analysis and implementing circular/take-back programs. Continued focus on these hotspots will drive significant reductions in the EcoSmart Device\'s carbon footprint.</w:t>
      </w:r>
    </w:p>
    <w:p>
      <w:pPr>
        <w:pStyle w:val="BodyText"/>
      </w:pPr>
      <w:r>
        <w:t xml:space="preserve">Confidential - Internal Use Only | Page</w:t>
      </w:r>
      <w:r>
        <w:t xml:space="preserve"> </w:t>
      </w:r>
      <w:bookmarkStart w:id="36" w:name="pageNumber"/>
      <w:bookmarkEnd w:id="36"/>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fhqiwuggrj (EcoSmart Device)</dc:title>
  <dc:creator/>
  <dc:description>Detailed Product Carbon Footprint (PCF) analysis report for EcoSmart Device (fhqiwuggrj) by Senior Sustainability Consultant ylisrvjwny for rxutghkrpl, adhering to GHG Protocol standards and 2026 updates.</dc:description>
  <dc:language>en</dc:language>
  <cp:keywords/>
  <dcterms:created xsi:type="dcterms:W3CDTF">2026-07-15T10:40:38Z</dcterms:created>
  <dcterms:modified xsi:type="dcterms:W3CDTF">2026-07-15T10:40:38Z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