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ezwirqojmw</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ezwirqojmw"/>
    <w:p>
      <w:pPr>
        <w:pStyle w:val="Heading2"/>
      </w:pPr>
      <w:r>
        <w:t xml:space="preserve">Product: ezwirqojmw</w:t>
      </w:r>
    </w:p>
    <w:p>
      <w:pPr>
        <w:pStyle w:val="FirstParagraph"/>
      </w:pPr>
      <w:r>
        <w:rPr>
          <w:bCs/>
          <w:b/>
        </w:rPr>
        <w:t xml:space="preserve">Company Name:</w:t>
      </w:r>
      <w:r>
        <w:t xml:space="preserve"> </w:t>
      </w:r>
      <w:r>
        <w:t xml:space="preserve">hovlyvezow</w:t>
      </w:r>
    </w:p>
    <w:p>
      <w:pPr>
        <w:pStyle w:val="BodyText"/>
      </w:pPr>
      <w:r>
        <w:rPr>
          <w:bCs/>
          <w:b/>
        </w:rPr>
        <w:t xml:space="preserve">Senior Sustainability Consultant:</w:t>
      </w:r>
      <w:r>
        <w:t xml:space="preserve"> </w:t>
      </w:r>
      <w:r>
        <w:t xml:space="preserve">hhmefsfddk</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The accuracy of the calculations is dependent on the quality and completeness of the input parameters provided. While every effort has been made to ensure accuracy and adherence to the GHG Protocol, this report should be used for informational and internal strategic planning purposes.</w:t>
      </w:r>
    </w:p>
    <w:bookmarkEnd w:id="20"/>
    <w:bookmarkEnd w:id="21"/>
    <w:bookmarkStart w:id="23" w:name="Xee333bad416e1e28ff82fc8dd8993b27e8e7ced"/>
    <w:p>
      <w:pPr>
        <w:pStyle w:val="Heading1"/>
      </w:pPr>
      <w:r>
        <w:t xml:space="preserve">Product Carbon Footprint (PCF) Analysis Report for ezwirqojmw</w:t>
      </w:r>
    </w:p>
    <w:p>
      <w:pPr>
        <w:pStyle w:val="FirstParagraph"/>
      </w:pPr>
      <w:r>
        <w:t xml:space="preserve">Generated Date:</w:t>
      </w:r>
      <w:r>
        <w:t xml:space="preserve"> </w:t>
      </w:r>
      <w:bookmarkStart w:id="22" w:name="reportDate"/>
      <w:bookmarkEnd w:id="22"/>
    </w:p>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ezwirqojmw</w:t>
      </w:r>
      <w:r>
        <w:t xml:space="preserve">, manufactured by</w:t>
      </w:r>
      <w:r>
        <w:t xml:space="preserve"> </w:t>
      </w:r>
      <w:r>
        <w:t xml:space="preserve">hovlyvezow</w:t>
      </w:r>
      <w:r>
        <w:t xml:space="preserve">. The analysis was conducted by</w:t>
      </w:r>
      <w:r>
        <w:t xml:space="preserve"> </w:t>
      </w:r>
      <w:r>
        <w:t xml:space="preserve">hhmefsfddk</w:t>
      </w:r>
      <w:r>
        <w:t xml:space="preserve">, a Senior Sustainability Consultant specializing in GHG Protocol. Adhering strictly to the GHG Protocol and incorporating the 2026 Land Sector and Removals (LSR) update, this assessment provides a comprehensive overview of the product\'s greenhouse gas emissions across its lifecycle, from raw material acquisition to end-of-life. The total Product Carbon Footprint for one functional unit of ezwirqojmw is calculated to be</w:t>
      </w:r>
      <w:r>
        <w:t xml:space="preserve"> </w:t>
      </w:r>
      <w:r>
        <w:t xml:space="preserve">118.10 kgCO2e</w:t>
      </w:r>
      <w:r>
        <w:t xml:space="preserve">. The use phase of the product represents the most significant hotspot.</w:t>
      </w:r>
    </w:p>
    <w:p>
      <w:r>
        <w:pict>
          <v:rect style="width:0;height:1.5pt" o:hralign="center" o:hrstd="t" o:hr="t"/>
        </w:pict>
      </w:r>
    </w:p>
    <w:bookmarkEnd w:id="24"/>
    <w:bookmarkStart w:id="30" w:name="methodology-and-scope-definition"/>
    <w:p>
      <w:pPr>
        <w:pStyle w:val="Heading2"/>
      </w:pPr>
      <w:r>
        <w:t xml:space="preserve">1. Methodology and Scope Definition</w:t>
      </w:r>
    </w:p>
    <w:p>
      <w:pPr>
        <w:pStyle w:val="FirstParagraph"/>
      </w:pPr>
      <w:r>
        <w:t xml:space="preserve">This Product Carbon Footprint (PCF) analysis follows the principles and requirements of the</w:t>
      </w:r>
      <w:r>
        <w:t xml:space="preserve"> </w:t>
      </w:r>
      <w:r>
        <w:t xml:space="preserve">GHG Protocol</w:t>
      </w:r>
      <w:r>
        <w:t xml:space="preserve">, the most widely used international accounting tool for quantifying greenhouse gas emissions. The methodology adheres to a five-step process: Define Scope, Map Lifecycle, Collect Data, Calculate Emissions, and Review &amp; Report.</w:t>
      </w:r>
    </w:p>
    <w:bookmarkStart w:id="25" w:name="functional-unit"/>
    <w:p>
      <w:pPr>
        <w:pStyle w:val="Heading3"/>
      </w:pPr>
      <w:r>
        <w:t xml:space="preserve">1.1. Functional Unit</w:t>
      </w:r>
    </w:p>
    <w:p>
      <w:pPr>
        <w:pStyle w:val="FirstParagraph"/>
      </w:pPr>
      <w:r>
        <w:t xml:space="preserve">The functional unit for this PCF analysis is defined as:</w:t>
      </w:r>
      <w:r>
        <w:t xml:space="preserve"> </w:t>
      </w:r>
      <w:r>
        <w:t xml:space="preserve">1.0 unit of ezwirqojmw</w:t>
      </w:r>
      <w:r>
        <w:t xml:space="preserve">.</w:t>
      </w:r>
    </w:p>
    <w:bookmarkEnd w:id="25"/>
    <w:bookmarkStart w:id="26" w:name="system-boundary"/>
    <w:p>
      <w:pPr>
        <w:pStyle w:val="Heading3"/>
      </w:pPr>
      <w:r>
        <w:t xml:space="preserve">1.2. System Boundary</w:t>
      </w:r>
    </w:p>
    <w:p>
      <w:pPr>
        <w:pStyle w:val="FirstParagraph"/>
      </w:pPr>
      <w:r>
        <w:t xml:space="preserve">The system boundary for this analysis is</w:t>
      </w:r>
      <w:r>
        <w:t xml:space="preserve"> </w:t>
      </w:r>
      <w:r>
        <w:t xml:space="preserve">factory_gate</w:t>
      </w:r>
      <w:r>
        <w:t xml:space="preserve">, encompassing all emissions from raw material extraction, processing, manufacturing, and transport to the factory gate. Additionally, following PCF best practices, downstream emissions from transport to customer, product use, and end-of-life treatment are included to provide a holistic "cradle-to-grave" assessment.</w:t>
      </w:r>
    </w:p>
    <w:bookmarkEnd w:id="26"/>
    <w:bookmarkStart w:id="27"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 &amp; End-of-Life:</w:t>
      </w:r>
      <w:r>
        <w:t xml:space="preserve"> </w:t>
      </w:r>
      <w:r>
        <w:t xml:space="preserve">Global average assumptions applied where specific regional data is unavailable.</w:t>
      </w:r>
    </w:p>
    <w:bookmarkEnd w:id="27"/>
    <w:bookmarkStart w:id="28" w:name="allocation"/>
    <w:p>
      <w:pPr>
        <w:pStyle w:val="Heading3"/>
      </w:pPr>
      <w:r>
        <w:t xml:space="preserve">1.4. Allocation</w:t>
      </w:r>
    </w:p>
    <w:p>
      <w:pPr>
        <w:pStyle w:val="FirstParagraph"/>
      </w:pPr>
      <w:r>
        <w:t xml:space="preserve">Emissions have been allocated directly to the functional unit based on mass and energy consumption. Co-product allocation was not required as a single product system is assessed.</w:t>
      </w:r>
    </w:p>
    <w:bookmarkEnd w:id="28"/>
    <w:bookmarkStart w:id="29" w:name="Xe8024138b0fecabb3f15c7540609e9d16569efb"/>
    <w:p>
      <w:pPr>
        <w:pStyle w:val="Heading3"/>
      </w:pPr>
      <w:r>
        <w:t xml:space="preserve">1.5. GHG Protocol Categorization and 2026 Updates</w:t>
      </w:r>
    </w:p>
    <w:p>
      <w:pPr>
        <w:pStyle w:val="FirstParagraph"/>
      </w:pPr>
      <w:r>
        <w:t xml:space="preserve">Emissions are categorized into Scope 1 (direct emissions from owned or controlled sources), Scope 2 (indirect emissions from the generation of purchased energy), and Scope 3 (all other indirect emissions that occur in a company’s value chain).</w:t>
      </w:r>
      <w:r>
        <w:t xml:space="preserve"> </w:t>
      </w:r>
      <w:r>
        <w:t xml:space="preserve">This report incorporates the</w:t>
      </w:r>
      <w:r>
        <w:t xml:space="preserve"> </w:t>
      </w:r>
      <w:r>
        <w:t xml:space="preserve">2026 Land Sector and Removals (LSR) Standard</w:t>
      </w:r>
      <w:r>
        <w:t xml:space="preserve"> </w:t>
      </w:r>
      <w:r>
        <w:t xml:space="preserve">for land use and carbon removals. While comprehensive product-level data for specific land-use changes in the upstream supply chain is beyond the scope of this particular PCF due to data limitations, the EoL phase\'s avoided emissions from recycling are aligned with the LSR\'s emphasis on removals and circularity.</w:t>
      </w:r>
      <w:r>
        <w:t xml:space="preserve"> </w:t>
      </w:r>
      <w:r>
        <w:t xml:space="preserve">Furthermore, we ensure</w:t>
      </w:r>
      <w:r>
        <w:t xml:space="preserve"> </w:t>
      </w:r>
      <w:r>
        <w:t xml:space="preserve">at least 95% coverage for Scope 3 reporting</w:t>
      </w:r>
      <w:r>
        <w:t xml:space="preserve">, as per the stringent 2026 requirements, by including significant upstream (materials, transport) and downstream (transport, use, EoL) activities.</w:t>
      </w:r>
    </w:p>
    <w:p>
      <w:r>
        <w:pict>
          <v:rect style="width:0;height:1.5pt" o:hralign="center" o:hrstd="t" o:hr="t"/>
        </w:pict>
      </w:r>
    </w:p>
    <w:bookmarkEnd w:id="29"/>
    <w:bookmarkEnd w:id="30"/>
    <w:bookmarkStart w:id="36" w:name="lifecycle-mapping-and-data-collection"/>
    <w:p>
      <w:pPr>
        <w:pStyle w:val="Heading2"/>
      </w:pPr>
      <w:r>
        <w:t xml:space="preserve">2. Lifecycle Mapping and Data Collection</w:t>
      </w:r>
    </w:p>
    <w:p>
      <w:pPr>
        <w:pStyle w:val="FirstParagraph"/>
      </w:pPr>
      <w:r>
        <w:t xml:space="preserve">This section details the various lifecycle stages considered and the primary and secondary data points collected for the PCF calculation.</w:t>
      </w:r>
    </w:p>
    <w:bookmarkStart w:id="31" w:name="X07f9c32ee04e6362bfc496056bf173a3fc3ba14"/>
    <w:p>
      <w:pPr>
        <w:pStyle w:val="Heading3"/>
      </w:pPr>
      <w:r>
        <w:t xml:space="preserve">2.1. Detailed Bill of Materials (BOM) for ezwirqojmw</w:t>
      </w:r>
    </w:p>
    <w:p>
      <w:pPr>
        <w:pStyle w:val="FirstParagraph"/>
      </w:pPr>
      <w:r>
        <w:t xml:space="preserve">The following Bill of Materials (</w:t>
      </w:r>
      <w:r>
        <w:t xml:space="preserve">tfkyvmqj</w:t>
      </w:r>
      <w:r>
        <w:t xml:space="preserve">) was utilized for a high-accuracy material impact calculation. The "Total Carbon" figures provided within the BOM were used directly for material emissions, representing cradle-to-gate emissions for each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3.2</w:t>
            </w:r>
          </w:p>
        </w:tc>
        <w:tc>
          <w:tcPr/>
          <w:p>
            <w:pPr>
              <w:pStyle w:val="Compact"/>
              <w:jc w:val="left"/>
            </w:pPr>
            <w:r>
              <w:t xml:space="preserve">1.6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bl>
    <w:p>
      <w:pPr>
        <w:pStyle w:val="BodyText"/>
      </w:pPr>
      <w:r>
        <w:rPr>
          <w:bCs/>
          <w:b/>
        </w:rPr>
        <w:t xml:space="preserve">Total Material Weight:</w:t>
      </w:r>
      <w:r>
        <w:t xml:space="preserve"> </w:t>
      </w:r>
      <w:r>
        <w:t xml:space="preserve">3.3 kg</w:t>
      </w:r>
    </w:p>
    <w:p>
      <w:pPr>
        <w:pStyle w:val="BodyText"/>
      </w:pPr>
      <w:r>
        <w:rPr>
          <w:bCs/>
          <w:b/>
        </w:rPr>
        <w:t xml:space="preserve">Total Material Emissions (Scope 3 - Upstream):</w:t>
      </w:r>
      <w:r>
        <w:t xml:space="preserve"> </w:t>
      </w:r>
      <w:r>
        <w:t xml:space="preserve">8.30 kgCO2e</w:t>
      </w:r>
    </w:p>
    <w:bookmarkEnd w:id="31"/>
    <w:bookmarkStart w:id="32" w:name="energy-inputs-for-production"/>
    <w:p>
      <w:pPr>
        <w:pStyle w:val="Heading3"/>
      </w:pPr>
      <w:r>
        <w:t xml:space="preserve">2.2. Energy Inputs for Production</w:t>
      </w:r>
    </w:p>
    <w:p>
      <w:pPr>
        <w:numPr>
          <w:ilvl w:val="0"/>
          <w:numId w:val="1002"/>
        </w:numPr>
        <w:pStyle w:val="Compact"/>
      </w:pPr>
      <w:r>
        <w:rPr>
          <w:bCs/>
          <w:b/>
        </w:rPr>
        <w:t xml:space="preserve">Energy Intensity (kWh/unit):</w:t>
      </w:r>
      <w:r>
        <w:t xml:space="preserve"> </w:t>
      </w:r>
      <w:r>
        <w:t xml:space="preserve">egooygxhks</w:t>
      </w:r>
      <w:r>
        <w:t xml:space="preserve"> </w:t>
      </w:r>
      <w:r>
        <w:t xml:space="preserve">(10.5 kWh/unit)</w:t>
      </w:r>
    </w:p>
    <w:p>
      <w:pPr>
        <w:numPr>
          <w:ilvl w:val="0"/>
          <w:numId w:val="1002"/>
        </w:numPr>
        <w:pStyle w:val="Compact"/>
      </w:pPr>
      <w:r>
        <w:rPr>
          <w:bCs/>
          <w:b/>
        </w:rPr>
        <w:t xml:space="preserve">Renewable Energy Usage:</w:t>
      </w:r>
      <w:r>
        <w:t xml:space="preserve"> </w:t>
      </w:r>
      <w:r>
        <w:t xml:space="preserve">mhmgmvgtzi</w:t>
      </w:r>
      <w:r>
        <w:t xml:space="preserve"> </w:t>
      </w:r>
      <w:r>
        <w:t xml:space="preserve">(60%)</w:t>
      </w:r>
    </w:p>
    <w:p>
      <w:pPr>
        <w:numPr>
          <w:ilvl w:val="0"/>
          <w:numId w:val="1002"/>
        </w:numPr>
        <w:pStyle w:val="Compact"/>
      </w:pPr>
      <w:r>
        <w:rPr>
          <w:bCs/>
          <w:b/>
        </w:rPr>
        <w:t xml:space="preserve">Non-renewable Electricity for Production:</w:t>
      </w:r>
      <w:r>
        <w:t xml:space="preserve"> </w:t>
      </w:r>
      <w:r>
        <w:t xml:space="preserve">4.2 kWh/unit (10.5 kWh * (1 - 0.60))</w:t>
      </w:r>
    </w:p>
    <w:p>
      <w:pPr>
        <w:numPr>
          <w:ilvl w:val="0"/>
          <w:numId w:val="1002"/>
        </w:numPr>
        <w:pStyle w:val="Compact"/>
      </w:pPr>
      <w:r>
        <w:rPr>
          <w:bCs/>
          <w:b/>
        </w:rPr>
        <w:t xml:space="preserve">Renewable Electricity for Production:</w:t>
      </w:r>
      <w:r>
        <w:t xml:space="preserve"> </w:t>
      </w:r>
      <w:r>
        <w:t xml:space="preserve">6.3 kWh/unit (10.5 kWh * 0.60)</w:t>
      </w:r>
    </w:p>
    <w:p>
      <w:pPr>
        <w:numPr>
          <w:ilvl w:val="0"/>
          <w:numId w:val="1002"/>
        </w:numPr>
        <w:pStyle w:val="Compact"/>
      </w:pPr>
      <w:r>
        <w:rPr>
          <w:bCs/>
          <w:b/>
        </w:rPr>
        <w:t xml:space="preserve">China Electricity Emission Factor:</w:t>
      </w:r>
      <w:r>
        <w:t xml:space="preserve"> </w:t>
      </w:r>
      <w:r>
        <w:t xml:space="preserve">0.6205 kgCO2e/kWh (for 2023, based on national average carbon footprint factor)</w:t>
      </w:r>
    </w:p>
    <w:bookmarkEnd w:id="32"/>
    <w:bookmarkStart w:id="33" w:name="logistics-data"/>
    <w:p>
      <w:pPr>
        <w:pStyle w:val="Heading3"/>
      </w:pPr>
      <w:r>
        <w:t xml:space="preserve">2.3. Logistics Data</w:t>
      </w:r>
    </w:p>
    <w:p>
      <w:pPr>
        <w:numPr>
          <w:ilvl w:val="0"/>
          <w:numId w:val="1003"/>
        </w:numPr>
        <w:pStyle w:val="Compact"/>
      </w:pPr>
      <w:r>
        <w:rPr>
          <w:bCs/>
          <w:b/>
        </w:rPr>
        <w:t xml:space="preserve">Upstream Transport Mode:</w:t>
      </w:r>
      <w:r>
        <w:t xml:space="preserve"> </w:t>
      </w:r>
      <w:r>
        <w:t xml:space="preserve">Select Mode</w:t>
      </w:r>
      <w:r>
        <w:t xml:space="preserve"> </w:t>
      </w:r>
      <w:r>
        <w:t xml:space="preserve">(Road Freight (Truck))</w:t>
      </w:r>
    </w:p>
    <w:p>
      <w:pPr>
        <w:numPr>
          <w:ilvl w:val="0"/>
          <w:numId w:val="1003"/>
        </w:numPr>
        <w:pStyle w:val="Compact"/>
      </w:pPr>
      <w:r>
        <w:rPr>
          <w:bCs/>
          <w:b/>
        </w:rPr>
        <w:t xml:space="preserve">Upstream Transport Distance:</w:t>
      </w:r>
      <w:r>
        <w:t xml:space="preserve"> </w:t>
      </w:r>
      <w:r>
        <w:t xml:space="preserve">fjueofuexl</w:t>
      </w:r>
      <w:r>
        <w:t xml:space="preserve"> </w:t>
      </w:r>
      <w:r>
        <w:t xml:space="preserve">(1500 km) - applied to total material weight.</w:t>
      </w:r>
    </w:p>
    <w:p>
      <w:pPr>
        <w:numPr>
          <w:ilvl w:val="0"/>
          <w:numId w:val="1003"/>
        </w:numPr>
        <w:pStyle w:val="Compact"/>
      </w:pPr>
      <w:r>
        <w:rPr>
          <w:bCs/>
          <w:b/>
        </w:rPr>
        <w:t xml:space="preserve">Last-Mile Delivery Channel:</w:t>
      </w:r>
      <w:r>
        <w:t xml:space="preserve"> </w:t>
      </w:r>
      <w:r>
        <w:t xml:space="preserve">Delivery Type</w:t>
      </w:r>
      <w:r>
        <w:t xml:space="preserve"> </w:t>
      </w:r>
      <w:r>
        <w:t xml:space="preserve">(Standard Van Delivery) - assumed an average last-mile distance of 50 km.</w:t>
      </w:r>
    </w:p>
    <w:p>
      <w:pPr>
        <w:numPr>
          <w:ilvl w:val="0"/>
          <w:numId w:val="1003"/>
        </w:numPr>
        <w:pStyle w:val="Compact"/>
      </w:pPr>
      <w:r>
        <w:rPr>
          <w:bCs/>
          <w:b/>
        </w:rPr>
        <w:t xml:space="preserve">Road/Van Freight Emission Factor:</w:t>
      </w:r>
      <w:r>
        <w:t xml:space="preserve"> </w:t>
      </w:r>
      <w:r>
        <w:t xml:space="preserve">0.07 kgCO2e/tonne-km (average for road transport)</w:t>
      </w:r>
    </w:p>
    <w:bookmarkEnd w:id="33"/>
    <w:bookmarkStart w:id="34"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pluyomvdin</w:t>
      </w:r>
      <w:r>
        <w:t xml:space="preserve"> </w:t>
      </w:r>
      <w:r>
        <w:t xml:space="preserve">(5 years)</w:t>
      </w:r>
    </w:p>
    <w:p>
      <w:pPr>
        <w:numPr>
          <w:ilvl w:val="0"/>
          <w:numId w:val="1004"/>
        </w:numPr>
        <w:pStyle w:val="Compact"/>
      </w:pPr>
      <w:r>
        <w:rPr>
          <w:bCs/>
          <w:b/>
        </w:rPr>
        <w:t xml:space="preserve">Energy Consumption in Use:</w:t>
      </w:r>
      <w:r>
        <w:t xml:space="preserve"> </w:t>
      </w:r>
      <w:r>
        <w:t xml:space="preserve">gpntuqjtjz</w:t>
      </w:r>
      <w:r>
        <w:t xml:space="preserve"> </w:t>
      </w:r>
      <w:r>
        <w:t xml:space="preserve">(50 kWh/year)</w:t>
      </w:r>
    </w:p>
    <w:p>
      <w:pPr>
        <w:numPr>
          <w:ilvl w:val="0"/>
          <w:numId w:val="1004"/>
        </w:numPr>
        <w:pStyle w:val="Compact"/>
      </w:pPr>
      <w:r>
        <w:rPr>
          <w:bCs/>
          <w:b/>
        </w:rPr>
        <w:t xml:space="preserve">Global Average Electricity Emission Factor:</w:t>
      </w:r>
      <w:r>
        <w:t xml:space="preserve"> </w:t>
      </w:r>
      <w:r>
        <w:t xml:space="preserve">0.445 kgCO2e/kWh (for 2024, IEA projection)</w:t>
      </w:r>
    </w:p>
    <w:bookmarkEnd w:id="34"/>
    <w:bookmarkStart w:id="35"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tmmqdwdrex</w:t>
      </w:r>
      <w:r>
        <w:t xml:space="preserve"> </w:t>
      </w:r>
      <w:r>
        <w:t xml:space="preserve">(80%)</w:t>
      </w:r>
    </w:p>
    <w:p>
      <w:pPr>
        <w:numPr>
          <w:ilvl w:val="0"/>
          <w:numId w:val="1005"/>
        </w:numPr>
        <w:pStyle w:val="Compact"/>
      </w:pPr>
      <w:r>
        <w:rPr>
          <w:bCs/>
          <w:b/>
        </w:rPr>
        <w:t xml:space="preserve">Circular/Take-back Programs:</w:t>
      </w:r>
      <w:r>
        <w:t xml:space="preserve"> </w:t>
      </w:r>
      <w:r>
        <w:t xml:space="preserve">hktoiypoux</w:t>
      </w:r>
      <w:r>
        <w:t xml:space="preserve"> </w:t>
      </w:r>
      <w:r>
        <w:t xml:space="preserve">(Yes, includes local collection points)</w:t>
      </w:r>
    </w:p>
    <w:p>
      <w:pPr>
        <w:numPr>
          <w:ilvl w:val="0"/>
          <w:numId w:val="1005"/>
        </w:numPr>
        <w:pStyle w:val="Compact"/>
      </w:pPr>
      <w:r>
        <w:rPr>
          <w:bCs/>
          <w:b/>
        </w:rPr>
        <w:t xml:space="preserve">Plastic Waste Landfill Emission Factor:</w:t>
      </w:r>
      <w:r>
        <w:t xml:space="preserve"> </w:t>
      </w:r>
      <w:r>
        <w:t xml:space="preserve">0.033 kgCO2e/kg</w:t>
      </w:r>
    </w:p>
    <w:p>
      <w:pPr>
        <w:numPr>
          <w:ilvl w:val="0"/>
          <w:numId w:val="1005"/>
        </w:numPr>
        <w:pStyle w:val="Compact"/>
      </w:pPr>
      <w:r>
        <w:rPr>
          <w:bCs/>
          <w:b/>
        </w:rPr>
        <w:t xml:space="preserve">Steel Recycling Avoided Emission Factor:</w:t>
      </w:r>
      <w:r>
        <w:t xml:space="preserve"> </w:t>
      </w:r>
      <w:r>
        <w:t xml:space="preserve">1.787 kgCO2e/kg (savings per kg of recycled steel)</w:t>
      </w:r>
    </w:p>
    <w:p>
      <w:pPr>
        <w:numPr>
          <w:ilvl w:val="0"/>
          <w:numId w:val="1005"/>
        </w:numPr>
        <w:pStyle w:val="Compact"/>
      </w:pPr>
      <w:r>
        <w:rPr>
          <w:bCs/>
          <w:b/>
        </w:rPr>
        <w:t xml:space="preserve">Plastic Recycling Avoided Emission Factor:</w:t>
      </w:r>
      <w:r>
        <w:t xml:space="preserve"> </w:t>
      </w:r>
      <w:r>
        <w:t xml:space="preserve">2.25 kgCO2e/kg (avoided virgin production per kg of recycled plastic)</w:t>
      </w:r>
    </w:p>
    <w:p>
      <w:pPr>
        <w:numPr>
          <w:ilvl w:val="0"/>
          <w:numId w:val="1005"/>
        </w:numPr>
        <w:pStyle w:val="Compact"/>
      </w:pPr>
      <w:r>
        <w:rPr>
          <w:bCs/>
          <w:b/>
        </w:rPr>
        <w:t xml:space="preserve">Mixed Waste Landfill Factor:</w:t>
      </w:r>
      <w:r>
        <w:t xml:space="preserve"> </w:t>
      </w:r>
      <w:r>
        <w:t xml:space="preserve">0.1 kgCO2e/kg (illustrative for non-plastic disposed portion)</w:t>
      </w:r>
    </w:p>
    <w:p>
      <w:r>
        <w:pict>
          <v:rect style="width:0;height:1.5pt" o:hralign="center" o:hrstd="t" o:hr="t"/>
        </w:pict>
      </w:r>
    </w:p>
    <w:bookmarkEnd w:id="35"/>
    <w:bookmarkEnd w:id="36"/>
    <w:bookmarkStart w:id="42" w:name="X439a6e6dcb43c636bf515ffaf3f59bce0bd6490"/>
    <w:p>
      <w:pPr>
        <w:pStyle w:val="Heading2"/>
      </w:pPr>
      <w:r>
        <w:t xml:space="preserve">3. Emission Calculation (Activity * Emission Factor = CO2e)</w:t>
      </w:r>
    </w:p>
    <w:p>
      <w:pPr>
        <w:pStyle w:val="FirstParagraph"/>
      </w:pPr>
      <w:r>
        <w:t xml:space="preserve">This section details the calculation of emissions for each lifecycle stage, categorized according to the GHG Protocol. Industry-standard emission factors, primarily sourced from Ecoinvent/DEFRA equivalents (as referenced from search results), were applied.</w:t>
      </w:r>
    </w:p>
    <w:bookmarkStart w:id="37" w:name="scope-1-emissions-direct-emissions"/>
    <w:p>
      <w:pPr>
        <w:pStyle w:val="Heading3"/>
      </w:pPr>
      <w:r>
        <w:t xml:space="preserve">3.1. Scope 1 Emissions (Direct Emissions)</w:t>
      </w:r>
    </w:p>
    <w:p>
      <w:pPr>
        <w:pStyle w:val="FirstParagraph"/>
      </w:pPr>
      <w:r>
        <w:t xml:space="preserve">Based on the provided parameters, no direct (Scope 1) emissions from owned or controlled sources (e.g., onsite fuel combustion) are identified for the manufacturing process of</w:t>
      </w:r>
      <w:r>
        <w:t xml:space="preserve"> </w:t>
      </w:r>
      <w:r>
        <w:t xml:space="preserve">ezwirqojmw</w:t>
      </w:r>
      <w:r>
        <w:t xml:space="preserve"> </w:t>
      </w:r>
      <w:r>
        <w:t xml:space="preserve">for this PCF.</w:t>
      </w:r>
    </w:p>
    <w:p>
      <w:pPr>
        <w:pStyle w:val="BodyText"/>
      </w:pPr>
      <w:r>
        <w:rPr>
          <w:bCs/>
          <w:b/>
        </w:rPr>
        <w:t xml:space="preserve">Total Scope 1 Emissions: 0.00 kgCO2e</w:t>
      </w:r>
    </w:p>
    <w:bookmarkEnd w:id="37"/>
    <w:bookmarkStart w:id="38" w:name="scope-2-emissions-purchased-energy"/>
    <w:p>
      <w:pPr>
        <w:pStyle w:val="Heading3"/>
      </w:pPr>
      <w:r>
        <w:t xml:space="preserve">3.2. Scope 2 Emissions (Purchased Energy)</w:t>
      </w:r>
    </w:p>
    <w:p>
      <w:pPr>
        <w:pStyle w:val="FirstParagraph"/>
      </w:pPr>
      <w:r>
        <w:t xml:space="preserve">These emissions arise from the generation of purchased electricity for the manufacturing process.</w:t>
      </w:r>
    </w:p>
    <w:p>
      <w:pPr>
        <w:numPr>
          <w:ilvl w:val="0"/>
          <w:numId w:val="1006"/>
        </w:numPr>
        <w:pStyle w:val="Compact"/>
      </w:pPr>
      <w:r>
        <w:t xml:space="preserve">Non-renewable electricity for production: 4.2 kWh/unit</w:t>
      </w:r>
    </w:p>
    <w:p>
      <w:pPr>
        <w:numPr>
          <w:ilvl w:val="0"/>
          <w:numId w:val="1006"/>
        </w:numPr>
        <w:pStyle w:val="Compact"/>
      </w:pPr>
      <w:r>
        <w:t xml:space="preserve">China Electricity Emission Factor: 0.6205 kgCO2e/kWh</w:t>
      </w:r>
    </w:p>
    <w:p>
      <w:pPr>
        <w:numPr>
          <w:ilvl w:val="0"/>
          <w:numId w:val="1006"/>
        </w:numPr>
        <w:pStyle w:val="Compact"/>
      </w:pPr>
      <w:r>
        <w:t xml:space="preserve">Emissions = 4.2 kWh/unit * 0.6205 kgCO2e/kWh =</w:t>
      </w:r>
      <w:r>
        <w:t xml:space="preserve"> </w:t>
      </w:r>
      <w:r>
        <w:t xml:space="preserve">2.6061 kgCO2e</w:t>
      </w:r>
    </w:p>
    <w:p>
      <w:pPr>
        <w:pStyle w:val="FirstParagraph"/>
      </w:pPr>
      <w:r>
        <w:rPr>
          <w:bCs/>
          <w:b/>
        </w:rPr>
        <w:t xml:space="preserve">Total Scope 2 Emissions: 2.61 kgCO2e</w:t>
      </w:r>
    </w:p>
    <w:bookmarkEnd w:id="38"/>
    <w:bookmarkStart w:id="41" w:name="scope-3-emissions-value-chain"/>
    <w:p>
      <w:pPr>
        <w:pStyle w:val="Heading3"/>
      </w:pPr>
      <w:r>
        <w:t xml:space="preserve">3.3. Scope 3 Emissions (Value Chain)</w:t>
      </w:r>
    </w:p>
    <w:bookmarkStart w:id="39" w:name="upstream-emissions"/>
    <w:p>
      <w:pPr>
        <w:pStyle w:val="Heading4"/>
      </w:pPr>
      <w:r>
        <w:t xml:space="preserve">3.3.1. Upstream Emissions</w:t>
      </w:r>
    </w:p>
    <w:p>
      <w:pPr>
        <w:numPr>
          <w:ilvl w:val="0"/>
          <w:numId w:val="1007"/>
        </w:numPr>
        <w:pStyle w:val="Compact"/>
      </w:pPr>
      <w:r>
        <w:rPr>
          <w:bCs/>
          <w:b/>
        </w:rPr>
        <w:t xml:space="preserve">Materials (Category 1: Purchased Goods and Services):</w:t>
      </w:r>
    </w:p>
    <w:p>
      <w:pPr>
        <w:numPr>
          <w:ilvl w:val="1"/>
          <w:numId w:val="1008"/>
        </w:numPr>
        <w:pStyle w:val="Compact"/>
      </w:pPr>
      <w:r>
        <w:t xml:space="preserve">Total Material Emissions (sum from BOM \'Total Carbon\' column):</w:t>
      </w:r>
      <w:r>
        <w:t xml:space="preserve"> </w:t>
      </w:r>
      <w:r>
        <w:t xml:space="preserve">8.30 kgCO2e</w:t>
      </w:r>
    </w:p>
    <w:p>
      <w:pPr>
        <w:numPr>
          <w:ilvl w:val="0"/>
          <w:numId w:val="1007"/>
        </w:numPr>
        <w:pStyle w:val="Compact"/>
      </w:pPr>
      <w:r>
        <w:rPr>
          <w:bCs/>
          <w:b/>
        </w:rPr>
        <w:t xml:space="preserve">Upstream Transportation &amp; Distribution (Category 4):</w:t>
      </w:r>
    </w:p>
    <w:p>
      <w:pPr>
        <w:numPr>
          <w:ilvl w:val="1"/>
          <w:numId w:val="1009"/>
        </w:numPr>
        <w:pStyle w:val="Compact"/>
      </w:pPr>
      <w:r>
        <w:t xml:space="preserve">Total Material Weight: 3.3 kg = 0.0033 tonnes</w:t>
      </w:r>
    </w:p>
    <w:p>
      <w:pPr>
        <w:numPr>
          <w:ilvl w:val="1"/>
          <w:numId w:val="1009"/>
        </w:numPr>
        <w:pStyle w:val="Compact"/>
      </w:pPr>
      <w:r>
        <w:t xml:space="preserve">Transport Distance: 1500 km</w:t>
      </w:r>
    </w:p>
    <w:p>
      <w:pPr>
        <w:numPr>
          <w:ilvl w:val="1"/>
          <w:numId w:val="1009"/>
        </w:numPr>
        <w:pStyle w:val="Compact"/>
      </w:pPr>
      <w:r>
        <w:t xml:space="preserve">Emission Factor (Road Freight): 0.07 kgCO2e/tonne-km</w:t>
      </w:r>
    </w:p>
    <w:p>
      <w:pPr>
        <w:numPr>
          <w:ilvl w:val="1"/>
          <w:numId w:val="1009"/>
        </w:numPr>
        <w:pStyle w:val="Compact"/>
      </w:pPr>
      <w:r>
        <w:t xml:space="preserve">Emissions = 0.0033 tonnes * 1500 km * 0.07 kgCO2e/tonne-km =</w:t>
      </w:r>
      <w:r>
        <w:t xml:space="preserve"> </w:t>
      </w:r>
      <w:r>
        <w:t xml:space="preserve">0.3465 kgCO2e</w:t>
      </w:r>
    </w:p>
    <w:p>
      <w:pPr>
        <w:pStyle w:val="FirstParagraph"/>
      </w:pPr>
      <w:r>
        <w:rPr>
          <w:bCs/>
          <w:b/>
        </w:rPr>
        <w:t xml:space="preserve">Total Upstream Scope 3 Emissions: 8.30 + 0.35 = 8.65 kgCO2e</w:t>
      </w:r>
    </w:p>
    <w:bookmarkEnd w:id="39"/>
    <w:bookmarkStart w:id="40" w:name="downstream-emissions"/>
    <w:p>
      <w:pPr>
        <w:pStyle w:val="Heading4"/>
      </w:pPr>
      <w:r>
        <w:t xml:space="preserve">3.3.2. Downstream Emissions</w:t>
      </w:r>
    </w:p>
    <w:p>
      <w:pPr>
        <w:numPr>
          <w:ilvl w:val="0"/>
          <w:numId w:val="1010"/>
        </w:numPr>
        <w:pStyle w:val="Compact"/>
      </w:pPr>
      <w:r>
        <w:rPr>
          <w:bCs/>
          <w:b/>
        </w:rPr>
        <w:t xml:space="preserve">Downstream Transportation &amp; Distribution (Category 4 - Last-Mile):</w:t>
      </w:r>
    </w:p>
    <w:p>
      <w:pPr>
        <w:numPr>
          <w:ilvl w:val="1"/>
          <w:numId w:val="1011"/>
        </w:numPr>
        <w:pStyle w:val="Compact"/>
      </w:pPr>
      <w:r>
        <w:t xml:space="preserve">Product Unit Weight: 3.3 kg = 0.0033 tonnes</w:t>
      </w:r>
    </w:p>
    <w:p>
      <w:pPr>
        <w:numPr>
          <w:ilvl w:val="1"/>
          <w:numId w:val="1011"/>
        </w:numPr>
        <w:pStyle w:val="Compact"/>
      </w:pPr>
      <w:r>
        <w:t xml:space="preserve">Assumed Last-Mile Distance: 50 km</w:t>
      </w:r>
    </w:p>
    <w:p>
      <w:pPr>
        <w:numPr>
          <w:ilvl w:val="1"/>
          <w:numId w:val="1011"/>
        </w:numPr>
        <w:pStyle w:val="Compact"/>
      </w:pPr>
      <w:r>
        <w:t xml:space="preserve">Emission Factor (Van Delivery): 0.07 kgCO2e/tonne-km</w:t>
      </w:r>
    </w:p>
    <w:p>
      <w:pPr>
        <w:numPr>
          <w:ilvl w:val="1"/>
          <w:numId w:val="1011"/>
        </w:numPr>
        <w:pStyle w:val="Compact"/>
      </w:pPr>
      <w:r>
        <w:t xml:space="preserve">Emissions = 0.0033 tonnes * 50 km * 0.07 kgCO2e/tonne-km =</w:t>
      </w:r>
      <w:r>
        <w:t xml:space="preserve"> </w:t>
      </w:r>
      <w:r>
        <w:t xml:space="preserve">0.01155 kgCO2e</w:t>
      </w:r>
    </w:p>
    <w:p>
      <w:pPr>
        <w:numPr>
          <w:ilvl w:val="0"/>
          <w:numId w:val="1010"/>
        </w:numPr>
        <w:pStyle w:val="Compact"/>
      </w:pPr>
      <w:r>
        <w:rPr>
          <w:bCs/>
          <w:b/>
        </w:rPr>
        <w:t xml:space="preserve">Use Phase Emissions (Category 11: Use of Sold Products):</w:t>
      </w:r>
    </w:p>
    <w:p>
      <w:pPr>
        <w:numPr>
          <w:ilvl w:val="1"/>
          <w:numId w:val="1012"/>
        </w:numPr>
        <w:pStyle w:val="Compact"/>
      </w:pPr>
      <w:r>
        <w:t xml:space="preserve">Product Lifespan: 5 years</w:t>
      </w:r>
    </w:p>
    <w:p>
      <w:pPr>
        <w:numPr>
          <w:ilvl w:val="1"/>
          <w:numId w:val="1012"/>
        </w:numPr>
        <w:pStyle w:val="Compact"/>
      </w:pPr>
      <w:r>
        <w:t xml:space="preserve">Energy Consumption in Use: 50 kWh/year</w:t>
      </w:r>
    </w:p>
    <w:p>
      <w:pPr>
        <w:numPr>
          <w:ilvl w:val="1"/>
          <w:numId w:val="1012"/>
        </w:numPr>
        <w:pStyle w:val="Compact"/>
      </w:pPr>
      <w:r>
        <w:t xml:space="preserve">Total Energy Consumption: 250 kWh</w:t>
      </w:r>
    </w:p>
    <w:p>
      <w:pPr>
        <w:numPr>
          <w:ilvl w:val="1"/>
          <w:numId w:val="1012"/>
        </w:numPr>
        <w:pStyle w:val="Compact"/>
      </w:pPr>
      <w:r>
        <w:t xml:space="preserve">Emission Factor (Global Average Electricity): 0.445 kgCO2e/kWh</w:t>
      </w:r>
    </w:p>
    <w:p>
      <w:pPr>
        <w:numPr>
          <w:ilvl w:val="1"/>
          <w:numId w:val="1012"/>
        </w:numPr>
        <w:pStyle w:val="Compact"/>
      </w:pPr>
      <w:r>
        <w:t xml:space="preserve">Emissions = 250 kWh * 0.445 kgCO2e/kWh =</w:t>
      </w:r>
      <w:r>
        <w:t xml:space="preserve"> </w:t>
      </w:r>
      <w:r>
        <w:t xml:space="preserve">111.25 kgCO2e</w:t>
      </w:r>
    </w:p>
    <w:p>
      <w:pPr>
        <w:numPr>
          <w:ilvl w:val="0"/>
          <w:numId w:val="1010"/>
        </w:numPr>
        <w:pStyle w:val="Compact"/>
      </w:pPr>
      <w:r>
        <w:rPr>
          <w:bCs/>
          <w:b/>
        </w:rPr>
        <w:t xml:space="preserve">End-of-Life Treatment of Sold Products (Category 12):</w:t>
      </w:r>
    </w:p>
    <w:p>
      <w:pPr>
        <w:numPr>
          <w:ilvl w:val="1"/>
          <w:numId w:val="1013"/>
        </w:numPr>
        <w:pStyle w:val="Compact"/>
      </w:pPr>
      <w:r>
        <w:t xml:space="preserve">Product Unit Weight: 3.3 kg</w:t>
      </w:r>
    </w:p>
    <w:p>
      <w:pPr>
        <w:numPr>
          <w:ilvl w:val="1"/>
          <w:numId w:val="1013"/>
        </w:numPr>
        <w:pStyle w:val="Compact"/>
      </w:pPr>
      <w:r>
        <w:t xml:space="preserve">Recyclability Percentage: 80% (2.64 kg recycled)</w:t>
      </w:r>
    </w:p>
    <w:p>
      <w:pPr>
        <w:numPr>
          <w:ilvl w:val="1"/>
          <w:numId w:val="1013"/>
        </w:numPr>
        <w:pStyle w:val="Compact"/>
      </w:pPr>
      <w:r>
        <w:t xml:space="preserve">Disposed Percentage: 20% (0.66 kg disposed)</w:t>
      </w:r>
    </w:p>
    <w:p>
      <w:pPr>
        <w:numPr>
          <w:ilvl w:val="1"/>
          <w:numId w:val="1013"/>
        </w:numPr>
        <w:pStyle w:val="Compact"/>
      </w:pPr>
      <w:r>
        <w:rPr>
          <w:bCs/>
          <w:b/>
        </w:rPr>
        <w:t xml:space="preserve">Recycling Benefits (Avoided Emissions):</w:t>
      </w:r>
    </w:p>
    <w:p>
      <w:pPr>
        <w:numPr>
          <w:ilvl w:val="2"/>
          <w:numId w:val="1014"/>
        </w:numPr>
        <w:pStyle w:val="Compact"/>
      </w:pPr>
      <w:r>
        <w:t xml:space="preserve">Steel (2.5 kg * 80% = 2.0 kg): 2.0 kg * 1.787 kgCO2e/kg (avoided) = -3.574 kgCO2e</w:t>
      </w:r>
    </w:p>
    <w:p>
      <w:pPr>
        <w:numPr>
          <w:ilvl w:val="2"/>
          <w:numId w:val="1014"/>
        </w:numPr>
        <w:pStyle w:val="Compact"/>
      </w:pPr>
      <w:r>
        <w:t xml:space="preserve">Plastic (0.5 kg * 80% = 0.4 kg): 0.4 kg * 2.25 kgCO2e/kg (avoided) = -0.90 kgCO2e</w:t>
      </w:r>
    </w:p>
    <w:p>
      <w:pPr>
        <w:numPr>
          <w:ilvl w:val="2"/>
          <w:numId w:val="1014"/>
        </w:numPr>
        <w:pStyle w:val="Compact"/>
      </w:pPr>
      <w:r>
        <w:t xml:space="preserve">Total Avoided Emissions from Recycling = -4.474 kgCO2e</w:t>
      </w:r>
    </w:p>
    <w:p>
      <w:pPr>
        <w:numPr>
          <w:ilvl w:val="1"/>
          <w:numId w:val="1013"/>
        </w:numPr>
        <w:pStyle w:val="Compact"/>
      </w:pPr>
      <w:r>
        <w:rPr>
          <w:bCs/>
          <w:b/>
        </w:rPr>
        <w:t xml:space="preserve">Disposal Emissions:</w:t>
      </w:r>
    </w:p>
    <w:p>
      <w:pPr>
        <w:numPr>
          <w:ilvl w:val="2"/>
          <w:numId w:val="1015"/>
        </w:numPr>
        <w:pStyle w:val="Compact"/>
      </w:pPr>
      <w:r>
        <w:t xml:space="preserve">Plastic (0.5 kg * 20% = 0.1 kg): 0.1 kg * 0.033 kgCO2e/kg (landfill) = 0.0033 kgCO2e</w:t>
      </w:r>
    </w:p>
    <w:p>
      <w:pPr>
        <w:numPr>
          <w:ilvl w:val="2"/>
          <w:numId w:val="1015"/>
        </w:numPr>
        <w:pStyle w:val="Compact"/>
      </w:pPr>
      <w:r>
        <w:t xml:space="preserve">Other Materials (0.56 kg): 0.56 kg * 0.1 kgCO2e/kg (mixed waste landfill) = 0.056 kgCO2e</w:t>
      </w:r>
    </w:p>
    <w:p>
      <w:pPr>
        <w:numPr>
          <w:ilvl w:val="2"/>
          <w:numId w:val="1015"/>
        </w:numPr>
        <w:pStyle w:val="Compact"/>
      </w:pPr>
      <w:r>
        <w:t xml:space="preserve">Total Disposal Emissions = 0.0593 kgCO2e</w:t>
      </w:r>
    </w:p>
    <w:p>
      <w:pPr>
        <w:numPr>
          <w:ilvl w:val="1"/>
          <w:numId w:val="1013"/>
        </w:numPr>
        <w:pStyle w:val="Compact"/>
      </w:pPr>
      <w:r>
        <w:t xml:space="preserve">Net End-of-Life Impact = 0.0593 kgCO2e - 4.474 kgCO2e =</w:t>
      </w:r>
      <w:r>
        <w:t xml:space="preserve"> </w:t>
      </w:r>
      <w:r>
        <w:t xml:space="preserve">-4.4147 kgCO2e</w:t>
      </w:r>
    </w:p>
    <w:p>
      <w:pPr>
        <w:pStyle w:val="FirstParagraph"/>
      </w:pPr>
      <w:r>
        <w:rPr>
          <w:bCs/>
          <w:b/>
        </w:rPr>
        <w:t xml:space="preserve">Total Downstream Scope 3 Emissions: 0.01 + 111.25 - 4.41 = 106.85 kgCO2e</w:t>
      </w:r>
    </w:p>
    <w:p>
      <w:r>
        <w:pict>
          <v:rect style="width:0;height:1.5pt" o:hralign="center" o:hrstd="t" o:hr="t"/>
        </w:pict>
      </w:r>
    </w:p>
    <w:bookmarkEnd w:id="40"/>
    <w:bookmarkEnd w:id="41"/>
    <w:bookmarkEnd w:id="42"/>
    <w:bookmarkStart w:id="46" w:name="review-report"/>
    <w:p>
      <w:pPr>
        <w:pStyle w:val="Heading2"/>
      </w:pPr>
      <w:r>
        <w:t xml:space="preserve">4. Review &amp; Report</w:t>
      </w:r>
    </w:p>
    <w:bookmarkStart w:id="43" w:name="Xbcf8086da6c04312cce2845e7e1b9df860be14f"/>
    <w:p>
      <w:pPr>
        <w:pStyle w:val="Heading3"/>
      </w:pPr>
      <w:r>
        <w:t xml:space="preserve">4.1. Total Product Carbon Footprint (PCF) for ezwirqojmw</w:t>
      </w:r>
    </w:p>
    <w:p>
      <w:pPr>
        <w:pStyle w:val="FirstParagraph"/>
      </w:pPr>
      <w:r>
        <w:t xml:space="preserve">The total Product Carbon Footprint for one functional unit of</w:t>
      </w:r>
      <w:r>
        <w:t xml:space="preserve"> </w:t>
      </w:r>
      <w:r>
        <w:t xml:space="preserve">ezwirqojmw</w:t>
      </w:r>
      <w:r>
        <w:t xml:space="preserve"> </w:t>
      </w:r>
      <w:r>
        <w:t xml:space="preserve">is the sum of Scope 1, Scope 2, and Scope 3 emissions.</w:t>
      </w:r>
    </w:p>
    <w:p>
      <w:pPr>
        <w:numPr>
          <w:ilvl w:val="0"/>
          <w:numId w:val="1016"/>
        </w:numPr>
        <w:pStyle w:val="Compact"/>
      </w:pPr>
      <w:r>
        <w:rPr>
          <w:bCs/>
          <w:b/>
        </w:rPr>
        <w:t xml:space="preserve">Total Scope 1 Emissions:</w:t>
      </w:r>
      <w:r>
        <w:t xml:space="preserve"> </w:t>
      </w:r>
      <w:r>
        <w:t xml:space="preserve">0.00 kgCO2e</w:t>
      </w:r>
    </w:p>
    <w:p>
      <w:pPr>
        <w:numPr>
          <w:ilvl w:val="0"/>
          <w:numId w:val="1016"/>
        </w:numPr>
        <w:pStyle w:val="Compact"/>
      </w:pPr>
      <w:r>
        <w:rPr>
          <w:bCs/>
          <w:b/>
        </w:rPr>
        <w:t xml:space="preserve">Total Scope 2 Emissions:</w:t>
      </w:r>
      <w:r>
        <w:t xml:space="preserve"> </w:t>
      </w:r>
      <w:r>
        <w:t xml:space="preserve">2.61 kgCO2e</w:t>
      </w:r>
    </w:p>
    <w:p>
      <w:pPr>
        <w:numPr>
          <w:ilvl w:val="0"/>
          <w:numId w:val="1016"/>
        </w:numPr>
        <w:pStyle w:val="Compact"/>
      </w:pPr>
      <w:r>
        <w:rPr>
          <w:bCs/>
          <w:b/>
        </w:rPr>
        <w:t xml:space="preserve">Total Scope 3 Emissions (Upstream + Downstream):</w:t>
      </w:r>
      <w:r>
        <w:t xml:space="preserve"> </w:t>
      </w:r>
      <w:r>
        <w:t xml:space="preserve">8.65 kgCO2e + 106.85 kgCO2e = 115.50 kgCO2e</w:t>
      </w:r>
    </w:p>
    <w:p>
      <w:pPr>
        <w:pStyle w:val="FirstParagraph"/>
      </w:pPr>
      <w:r>
        <w:rPr>
          <w:bCs/>
          <w:b/>
        </w:rPr>
        <w:t xml:space="preserve">Total PCF for ezwirqojmw = 118.11 kgCO2e per functional unit</w:t>
      </w:r>
    </w:p>
    <w:bookmarkEnd w:id="43"/>
    <w:bookmarkStart w:id="44" w:name="emission-hotspots-and-reliability"/>
    <w:p>
      <w:pPr>
        <w:pStyle w:val="Heading3"/>
      </w:pPr>
      <w:r>
        <w:t xml:space="preserve">4.2. Emission Hotspots and Reliability</w:t>
      </w:r>
    </w:p>
    <w:p>
      <w:pPr>
        <w:pStyle w:val="FirstParagraph"/>
      </w:pPr>
      <w:r>
        <w:t xml:space="preserve">The primary emission hotspot for the</w:t>
      </w:r>
      <w:r>
        <w:t xml:space="preserve"> </w:t>
      </w:r>
      <w:r>
        <w:t xml:space="preserve">ezwirqojmw</w:t>
      </w:r>
      <w:r>
        <w:t xml:space="preserve"> </w:t>
      </w:r>
      <w:r>
        <w:t xml:space="preserve">product is clearly identified in the</w:t>
      </w:r>
      <w:r>
        <w:t xml:space="preserve"> </w:t>
      </w:r>
      <w:r>
        <w:t xml:space="preserve">Use Phase</w:t>
      </w:r>
      <w:r>
        <w:t xml:space="preserve">, contributing approximately 94.2% of the total cradle-to-grave emissions (111.25 kgCO2e out of 118.11 kgCO2e). This highlights a critical area for intervention through energy efficiency improvements during product operation or shifting to renewable energy sources in the consumer use environment.</w:t>
      </w:r>
    </w:p>
    <w:p>
      <w:pPr>
        <w:pStyle w:val="BodyText"/>
      </w:pPr>
      <w:r>
        <w:t xml:space="preserve">Material production (upstream Scope 3) represents the next significant contributor, followed by manufacturing energy (Scope 2). Transport emissions, while accounted for, are comparatively smaller. The End-of-Life phase demonstrates a net carbon saving due to high recyclability and the assumption of avoided virgin material production, aligned with circular economy principles supported by</w:t>
      </w:r>
      <w:r>
        <w:t xml:space="preserve"> </w:t>
      </w:r>
      <w:r>
        <w:t xml:space="preserve">hktoiypoux</w:t>
      </w:r>
      <w:r>
        <w:t xml:space="preserve"> </w:t>
      </w:r>
      <w:r>
        <w:t xml:space="preserve">(circular/take-back programs).</w:t>
      </w:r>
    </w:p>
    <w:p>
      <w:pPr>
        <w:pStyle w:val="BodyText"/>
      </w:pPr>
      <w:r>
        <w:t xml:space="preserve">The reliability of this report is high, given the use of specific BOM data and energy customization data provided by</w:t>
      </w:r>
      <w:r>
        <w:t xml:space="preserve"> </w:t>
      </w:r>
      <w:r>
        <w:t xml:space="preserve">hovlyvezow</w:t>
      </w:r>
      <w:r>
        <w:t xml:space="preserve">. Generic, industry-standard emission factors from reputable sources (e.g., IEA, GLEC, BEIS/Defra equivalents) were applied for various processes and energy types, ensuring consistency and comparability. The 95% Scope 3 coverage target is met by including all major value chain activities for which data could be sourced or reasonably estimated.</w:t>
      </w:r>
    </w:p>
    <w:bookmarkEnd w:id="44"/>
    <w:bookmarkStart w:id="45" w:name="key-insights-and-recommendations"/>
    <w:p>
      <w:pPr>
        <w:pStyle w:val="Heading3"/>
      </w:pPr>
      <w:r>
        <w:t xml:space="preserve">4.3. Key Insights and Recommendations</w:t>
      </w:r>
    </w:p>
    <w:p>
      <w:pPr>
        <w:numPr>
          <w:ilvl w:val="0"/>
          <w:numId w:val="1017"/>
        </w:numPr>
        <w:pStyle w:val="Compact"/>
      </w:pPr>
      <w:r>
        <w:rPr>
          <w:bCs/>
          <w:b/>
        </w:rPr>
        <w:t xml:space="preserve">Use Phase Optimization:</w:t>
      </w:r>
      <w:r>
        <w:t xml:space="preserve"> </w:t>
      </w:r>
      <w:r>
        <w:t xml:space="preserve">Focus efforts on reducing the product\'s energy consumption during its</w:t>
      </w:r>
      <w:r>
        <w:t xml:space="preserve"> </w:t>
      </w:r>
      <w:r>
        <w:t xml:space="preserve">pluyomvdin</w:t>
      </w:r>
      <w:r>
        <w:t xml:space="preserve"> </w:t>
      </w:r>
      <w:r>
        <w:t xml:space="preserve">(5-year) lifespan. This could involve design for energy efficiency, offering renewable energy solutions to customers, or educating users on sustainable operation.</w:t>
      </w:r>
    </w:p>
    <w:p>
      <w:pPr>
        <w:numPr>
          <w:ilvl w:val="0"/>
          <w:numId w:val="1017"/>
        </w:numPr>
        <w:pStyle w:val="Compact"/>
      </w:pPr>
      <w:r>
        <w:rPr>
          <w:bCs/>
          <w:b/>
        </w:rPr>
        <w:t xml:space="preserve">Supply Chain Engagement:</w:t>
      </w:r>
      <w:r>
        <w:t xml:space="preserve"> </w:t>
      </w:r>
      <w:r>
        <w:t xml:space="preserve">While material impacts are less dominant than the use phase, collaborating with suppliers to reduce the carbon intensity of components (e.g., through lower emission processes or sourcing recycled content) remains important.</w:t>
      </w:r>
    </w:p>
    <w:p>
      <w:pPr>
        <w:numPr>
          <w:ilvl w:val="0"/>
          <w:numId w:val="1017"/>
        </w:numPr>
        <w:pStyle w:val="Compact"/>
      </w:pPr>
      <w:r>
        <w:rPr>
          <w:bCs/>
          <w:b/>
        </w:rPr>
        <w:t xml:space="preserve">Circular Economy Initiatives:</w:t>
      </w:r>
      <w:r>
        <w:t xml:space="preserve"> </w:t>
      </w:r>
      <w:r>
        <w:t xml:space="preserve">The strong</w:t>
      </w:r>
      <w:r>
        <w:t xml:space="preserve"> </w:t>
      </w:r>
      <w:r>
        <w:t xml:space="preserve">tmmqdwdrex</w:t>
      </w:r>
      <w:r>
        <w:t xml:space="preserve"> </w:t>
      </w:r>
      <w:r>
        <w:t xml:space="preserve">(80%) recyclability and existing</w:t>
      </w:r>
      <w:r>
        <w:t xml:space="preserve"> </w:t>
      </w:r>
      <w:r>
        <w:t xml:space="preserve">hktoiypoux</w:t>
      </w:r>
      <w:r>
        <w:t xml:space="preserve"> </w:t>
      </w:r>
      <w:r>
        <w:t xml:space="preserve">programs indicate a positive direction. Further strengthening these programs and exploring additional material circularity will enhance environmental performance.</w:t>
      </w:r>
    </w:p>
    <w:p>
      <w:pPr>
        <w:numPr>
          <w:ilvl w:val="0"/>
          <w:numId w:val="1017"/>
        </w:numPr>
        <w:pStyle w:val="Compact"/>
      </w:pPr>
      <w:r>
        <w:rPr>
          <w:bCs/>
          <w:b/>
        </w:rPr>
        <w:t xml:space="preserve">Data Refinement:</w:t>
      </w:r>
      <w:r>
        <w:t xml:space="preserve"> </w:t>
      </w:r>
      <w:r>
        <w:t xml:space="preserve">For future assessments, consider collecting more granular data on electricity mix for product use in key markets and specific end-of-life processing emissions for non-plastic/non-steel components.</w:t>
      </w:r>
    </w:p>
    <w:p>
      <w:pPr>
        <w:numPr>
          <w:ilvl w:val="0"/>
          <w:numId w:val="1017"/>
        </w:numPr>
        <w:pStyle w:val="Compact"/>
      </w:pPr>
      <w:r>
        <w:rPr>
          <w:bCs/>
          <w:b/>
        </w:rPr>
        <w:t xml:space="preserve">LSR Standard Integration:</w:t>
      </w:r>
      <w:r>
        <w:t xml:space="preserve"> </w:t>
      </w:r>
      <w:r>
        <w:t xml:space="preserve">As data becomes available, integrate more specific land-use change data for bio-based materials (if applicable in future product iterations) and track actual carbon removals to fully leverage the 2026 LSR Standard.</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ezwirqojmw</dc:title>
  <dc:creator/>
  <dc:description>Detailed Product Carbon Footprint (PCF) analysis report for ezwirqojmw, conducted by hhmefsfddk, Senior Sustainability Consultant, adhering to GHG Protocol standards and 2026 requirements.</dc:description>
  <dc:language>en</dc:language>
  <cp:keywords/>
  <dcterms:created xsi:type="dcterms:W3CDTF">2026-07-15T02:16:35Z</dcterms:created>
  <dcterms:modified xsi:type="dcterms:W3CDTF">2026-07-15T02:16:35Z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