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(PCF)</w:t>
      </w:r>
      <w:r>
        <w:t xml:space="preserve"> </w:t>
      </w:r>
      <w:r>
        <w:t xml:space="preserve">Analysis</w:t>
      </w:r>
      <w:r>
        <w:t xml:space="preserve"> </w:t>
      </w:r>
      <w:r>
        <w:t xml:space="preserve">Report</w:t>
      </w:r>
      <w:r>
        <w:t xml:space="preserve"> </w:t>
      </w:r>
      <w:r>
        <w:t xml:space="preserve">for</w:t>
      </w:r>
      <w:r>
        <w:t xml:space="preserve"> </w:t>
      </w:r>
      <w:r>
        <w:t xml:space="preserve">esxgwxtnwn</w:t>
      </w:r>
    </w:p>
    <w:p>
      <w:pPr>
        <w:pStyle w:val="FirstParagraph"/>
      </w:pPr>
      <w:r>
        <w:t xml:space="preserve">carboncalcpcf.com</w:t>
      </w:r>
    </w:p>
    <w:bookmarkStart w:id="20" w:name="Xf2e6ab5be446359d80f42f50d41e46314dfe19d"/>
    <w:p>
      <w:pPr>
        <w:pStyle w:val="Heading1"/>
      </w:pPr>
      <w:r>
        <w:t xml:space="preserve">Product Carbon Footprint (PCF) Analysis Report</w:t>
      </w:r>
    </w:p>
    <w:p>
      <w:pPr>
        <w:pStyle w:val="FirstParagraph"/>
      </w:pPr>
      <w:r>
        <w:rPr>
          <w:bCs/>
          <w:b/>
        </w:rPr>
        <w:t xml:space="preserve">Product:</w:t>
      </w:r>
      <w:r>
        <w:t xml:space="preserve"> </w:t>
      </w:r>
      <w:r>
        <w:t xml:space="preserve">esxgwxtnwn</w:t>
      </w:r>
    </w:p>
    <w:p>
      <w:pPr>
        <w:pStyle w:val="BodyText"/>
      </w:pPr>
      <w:r>
        <w:rPr>
          <w:bCs/>
          <w:b/>
        </w:rPr>
        <w:t xml:space="preserve">Company:</w:t>
      </w:r>
      <w:r>
        <w:t xml:space="preserve"> </w:t>
      </w:r>
      <w:r>
        <w:t xml:space="preserve">pizumkrwsv</w:t>
      </w:r>
    </w:p>
    <w:p>
      <w:pPr>
        <w:pStyle w:val="BodyText"/>
      </w:pPr>
      <w:r>
        <w:rPr>
          <w:bCs/>
          <w:b/>
        </w:rPr>
        <w:t xml:space="preserve">Accounting Standard:</w:t>
      </w:r>
      <w:r>
        <w:t xml:space="preserve"> </w:t>
      </w:r>
      <w:r>
        <w:t xml:space="preserve">GHG Protocol</w:t>
      </w:r>
    </w:p>
    <w:p>
      <w:pPr>
        <w:pStyle w:val="BodyText"/>
      </w:pPr>
      <w:r>
        <w:rPr>
          <w:bCs/>
          <w:b/>
        </w:rPr>
        <w:t xml:space="preserve">Prepared By:</w:t>
      </w:r>
      <w:r>
        <w:t xml:space="preserve"> </w:t>
      </w:r>
      <w:r>
        <w:t xml:space="preserve">gumrxznjte</w:t>
      </w:r>
    </w:p>
    <w:p>
      <w:pPr>
        <w:pStyle w:val="BodyText"/>
      </w:pPr>
      <w:r>
        <w:t xml:space="preserve">Senior Sustainability Consultant</w:t>
      </w:r>
    </w:p>
    <w:p>
      <w:pPr>
        <w:pStyle w:val="BodyText"/>
      </w:pPr>
      <w:r>
        <w:t xml:space="preserve">Disclaimer: This report is generated based on available data and industry standards. While efforts have been made to ensure accuracy, the results are indicative and subject to the limitations of the provided input parameters and generic emission factors used for certain categories.</w:t>
      </w:r>
    </w:p>
    <w:bookmarkEnd w:id="20"/>
    <w:p>
      <w:pPr>
        <w:pStyle w:val="BodyText"/>
      </w:pPr>
      <w:r>
        <w:t xml:space="preserve">Product Carbon Footprint (PCF) Analysis Report | Generated Date: May 26, 2026</w:t>
      </w:r>
    </w:p>
    <w:bookmarkStart w:id="21" w:name="executive-summary"/>
    <w:p>
      <w:pPr>
        <w:pStyle w:val="Heading1"/>
      </w:pPr>
      <w:r>
        <w:t xml:space="preserve">Executive Summary</w:t>
      </w:r>
    </w:p>
    <w:p>
      <w:pPr>
        <w:pStyle w:val="FirstParagraph"/>
      </w:pPr>
      <w:r>
        <w:t xml:space="preserve">This report presents a high-detail Product Carbon Footprint (PCF) analysis for the product esxgwxtnwn, manufactured by pizumkrwsv. The assessment adheres to the Greenhouse Gas (GHG) Protocol standards, including the latest 2026 Land Sector and Removals (LSR) Update. Conducted by gumrxznjte, Senior Sustainability Consultant, this analysis quantifies the greenhouse gas emissions across the product\'s lifecycle, from raw material acquisition to its end-of-life, with a primary focus on upstream and manufacturing impacts within a cradle-to-gate boundary, supplemented by downstream considerations for a holistic view.</w:t>
      </w:r>
    </w:p>
    <w:p>
      <w:pPr>
        <w:pStyle w:val="BodyText"/>
      </w:pPr>
      <w:r>
        <w:t xml:space="preserve">The total estimated Product Carbon Footprint for one functional unit of esxgwxtnwn is **36.38 kgCO2e**. The largest contributors to the overall footprint are identified within the Use Phase, primarily due to energy consumption, followed by raw material acquisition and manufacturing energy. This report provides a foundational understanding for pizumkrwsv to identify emission hotspots and develop targeted decarbonization strategies.</w:t>
      </w:r>
    </w:p>
    <w:p>
      <w:r>
        <w:pict>
          <v:rect style="width:0;height:1.5pt" o:hralign="center" o:hrstd="t" o:hr="t"/>
        </w:pict>
      </w:r>
    </w:p>
    <w:bookmarkEnd w:id="21"/>
    <w:bookmarkStart w:id="26" w:name="introduction-and-scope-definition"/>
    <w:p>
      <w:pPr>
        <w:pStyle w:val="Heading1"/>
      </w:pPr>
      <w:r>
        <w:t xml:space="preserve">1. Introduction and Scope Definition</w:t>
      </w:r>
    </w:p>
    <w:p>
      <w:pPr>
        <w:pStyle w:val="FirstParagraph"/>
      </w:pPr>
      <w:r>
        <w:t xml:space="preserve">A Product Carbon Footprint (PCF) quantifies the total greenhouse gas (GHG) emissions generated throughout a product\'s life cycle. This analysis for esxgwxtnwn follows the methodology outlined by the GHG Protocol, categorizing emissions into Scope 1 (direct emissions), Scope 2 (indirect emissions from purchased energy), and Scope 3 (all other indirect emissions across the value chain).</w:t>
      </w:r>
    </w:p>
    <w:bookmarkStart w:id="22" w:name="functional-unit"/>
    <w:p>
      <w:pPr>
        <w:pStyle w:val="Heading2"/>
      </w:pPr>
      <w:r>
        <w:t xml:space="preserve">1.1 Functional Unit</w:t>
      </w:r>
    </w:p>
    <w:p>
      <w:pPr>
        <w:numPr>
          <w:ilvl w:val="0"/>
          <w:numId w:val="1001"/>
        </w:numPr>
        <w:pStyle w:val="Compact"/>
      </w:pPr>
      <w:r>
        <w:rPr>
          <w:bCs/>
          <w:b/>
        </w:rPr>
        <w:t xml:space="preserve">Functional Unit:</w:t>
      </w:r>
      <w:r>
        <w:t xml:space="preserve"> </w:t>
      </w:r>
      <w:r>
        <w:t xml:space="preserve">1.0 unit of esxgwxtnwn</w:t>
      </w:r>
    </w:p>
    <w:bookmarkEnd w:id="22"/>
    <w:bookmarkStart w:id="23" w:name="system-boundary"/>
    <w:p>
      <w:pPr>
        <w:pStyle w:val="Heading2"/>
      </w:pPr>
      <w:r>
        <w:t xml:space="preserve">1.2 System Boundary</w:t>
      </w:r>
    </w:p>
    <w:p>
      <w:pPr>
        <w:pStyle w:val="FirstParagraph"/>
      </w:pPr>
      <w:r>
        <w:t xml:space="preserve">The defined system boundary for this PCF analysis is "factory_gate." However, to provide a comprehensive understanding of the product\'s environmental impact as requested by the provided parameters, this report extends the analysis to include the Use Phase and End-of-Life (EoL) scenarios. These downstream stages are typically considered within a "cradle-to-grave" approach, and their emissions are categorized under Scope 3. The primary production country is China, with a supply chain focus on Europe.</w:t>
      </w:r>
    </w:p>
    <w:p>
      <w:pPr>
        <w:numPr>
          <w:ilvl w:val="0"/>
          <w:numId w:val="1002"/>
        </w:numPr>
        <w:pStyle w:val="Compact"/>
      </w:pPr>
      <w:r>
        <w:rPr>
          <w:bCs/>
          <w:b/>
        </w:rPr>
        <w:t xml:space="preserve">System Boundary Defined:</w:t>
      </w:r>
      <w:r>
        <w:t xml:space="preserve"> </w:t>
      </w:r>
      <w:r>
        <w:t xml:space="preserve">factory_gate (with extended downstream analysis for Use Phase and End-of-Life as Scope 3).</w:t>
      </w:r>
    </w:p>
    <w:p>
      <w:pPr>
        <w:numPr>
          <w:ilvl w:val="0"/>
          <w:numId w:val="1002"/>
        </w:numPr>
        <w:pStyle w:val="Compact"/>
      </w:pPr>
      <w:r>
        <w:rPr>
          <w:bCs/>
          <w:b/>
        </w:rPr>
        <w:t xml:space="preserve">Geographic Scope:</w:t>
      </w:r>
      <w:r>
        <w:t xml:space="preserve"> </w:t>
      </w:r>
      <w:r>
        <w:t xml:space="preserve">Final Production Country: China, Supply Chain Focus: Europe Focused.</w:t>
      </w:r>
    </w:p>
    <w:bookmarkEnd w:id="23"/>
    <w:bookmarkStart w:id="24" w:name="accounting-standard"/>
    <w:p>
      <w:pPr>
        <w:pStyle w:val="Heading2"/>
      </w:pPr>
      <w:r>
        <w:t xml:space="preserve">1.3 Accounting Standard</w:t>
      </w:r>
    </w:p>
    <w:p>
      <w:pPr>
        <w:numPr>
          <w:ilvl w:val="0"/>
          <w:numId w:val="1003"/>
        </w:numPr>
        <w:pStyle w:val="Compact"/>
      </w:pPr>
      <w:r>
        <w:rPr>
          <w:bCs/>
          <w:b/>
        </w:rPr>
        <w:t xml:space="preserve">Accounting Standard:</w:t>
      </w:r>
      <w:r>
        <w:t xml:space="preserve"> </w:t>
      </w:r>
      <w:r>
        <w:t xml:space="preserve">GHG Protocol. This includes adherence to the Corporate Standard and the Corporate Value Chain (Scope 3) Accounting and Reporting Standard.</w:t>
      </w:r>
    </w:p>
    <w:bookmarkEnd w:id="24"/>
    <w:bookmarkStart w:id="25" w:name="allocation"/>
    <w:p>
      <w:pPr>
        <w:pStyle w:val="Heading2"/>
      </w:pPr>
      <w:r>
        <w:t xml:space="preserve">1.4 Allocation</w:t>
      </w:r>
    </w:p>
    <w:p>
      <w:pPr>
        <w:pStyle w:val="FirstParagraph"/>
      </w:pPr>
      <w:r>
        <w:t xml:space="preserve">Due to the nature of the provided data, a direct attributional approach has been taken, where emissions are directly allocated to the functional unit based on material quantities, energy consumption, and transport distances. No complex allocation for co-products or by-products was required based on the given parameters.</w:t>
      </w:r>
    </w:p>
    <w:p>
      <w:r>
        <w:pict>
          <v:rect style="width:0;height:1.5pt" o:hralign="center" o:hrstd="t" o:hr="t"/>
        </w:pict>
      </w:r>
    </w:p>
    <w:bookmarkEnd w:id="25"/>
    <w:bookmarkEnd w:id="26"/>
    <w:bookmarkStart w:id="35" w:name="X43f61c79ed7c8a3fa7fbd4506b234e3a0c1ddbe"/>
    <w:p>
      <w:pPr>
        <w:pStyle w:val="Heading1"/>
      </w:pPr>
      <w:r>
        <w:t xml:space="preserve">2. Lifecycle Inventory (LCI) Mapping &amp; Data Collection</w:t>
      </w:r>
    </w:p>
    <w:p>
      <w:pPr>
        <w:pStyle w:val="FirstParagraph"/>
      </w:pPr>
      <w:r>
        <w:t xml:space="preserve">This section details the lifecycle stages mapped for esxgwxtnwn and the data collected, covering raw material acquisition, manufacturing, transportation, use, and end-of-life.</w:t>
      </w:r>
    </w:p>
    <w:bookmarkStart w:id="28" w:name="Xf0b4f01037408afdfd9580994d68a96100c835d"/>
    <w:p>
      <w:pPr>
        <w:pStyle w:val="Heading2"/>
      </w:pPr>
      <w:r>
        <w:t xml:space="preserve">2.1 Raw Material Acquisition (Upstream - Scope 3)</w:t>
      </w:r>
    </w:p>
    <w:p>
      <w:pPr>
        <w:pStyle w:val="FirstParagraph"/>
      </w:pPr>
      <w:r>
        <w:t xml:space="preserve">The Bill of Materials (BOM) for esxgwxtnwn (jmptwtnv) is used to calculate the emissions associated with the extraction, processing, and production of raw materials. The \'Total Carbon\' values provided in the BOM are directly used for material impact, representing the pre-calculated CO2e emissions for each item.</w:t>
      </w:r>
    </w:p>
    <w:bookmarkStart w:id="27" w:name="Xd2dcd3bc8c896162ab0174ba62ba3df13ada128"/>
    <w:p>
      <w:pPr>
        <w:pStyle w:val="Heading3"/>
      </w:pPr>
      <w:r>
        <w:t xml:space="preserve">Detailed Bill of Materials (BOM) - jmptwtnv</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Aluminium</w:t>
            </w:r>
          </w:p>
        </w:tc>
        <w:tc>
          <w:tcPr/>
          <w:p>
            <w:pPr>
              <w:pStyle w:val="Compact"/>
              <w:jc w:val="left"/>
            </w:pPr>
            <w:r>
              <w:t xml:space="preserve">Metals</w:t>
            </w:r>
          </w:p>
        </w:tc>
        <w:tc>
          <w:tcPr/>
          <w:p>
            <w:pPr>
              <w:pStyle w:val="Compact"/>
              <w:jc w:val="left"/>
            </w:pPr>
            <w:r>
              <w:t xml:space="preserve">Casting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6.0</w:t>
            </w:r>
          </w:p>
        </w:tc>
        <w:tc>
          <w:tcPr/>
          <w:p>
            <w:pPr>
              <w:pStyle w:val="Compact"/>
              <w:jc w:val="left"/>
            </w:pPr>
            <w:r>
              <w:t xml:space="preserve">1.800</w:t>
            </w:r>
          </w:p>
        </w:tc>
      </w:tr>
      <w:tr>
        <w:tc>
          <w:tcPr/>
          <w:p>
            <w:pPr>
              <w:pStyle w:val="Compact"/>
              <w:jc w:val="left"/>
            </w:pPr>
            <w:r>
              <w:t xml:space="preserve">2</w:t>
            </w:r>
          </w:p>
        </w:tc>
        <w:tc>
          <w:tcPr/>
          <w:p>
            <w:pPr>
              <w:pStyle w:val="Compact"/>
              <w:jc w:val="left"/>
            </w:pPr>
            <w:r>
              <w:t xml:space="preserve">ABS Plastic</w:t>
            </w:r>
          </w:p>
        </w:tc>
        <w:tc>
          <w:tcPr/>
          <w:p>
            <w:pPr>
              <w:pStyle w:val="Compact"/>
              <w:jc w:val="left"/>
            </w:pPr>
            <w:r>
              <w:t xml:space="preserve">Polymers</w:t>
            </w:r>
          </w:p>
        </w:tc>
        <w:tc>
          <w:tcPr/>
          <w:p>
            <w:pPr>
              <w:pStyle w:val="Compact"/>
              <w:jc w:val="left"/>
            </w:pPr>
            <w:r>
              <w:t xml:space="preserve">Injection Molding</w:t>
            </w:r>
          </w:p>
        </w:tc>
        <w:tc>
          <w:tcPr/>
          <w:p>
            <w:pPr>
              <w:pStyle w:val="Compact"/>
              <w:jc w:val="left"/>
            </w:pPr>
            <w:r>
              <w:t xml:space="preserve">0.25</w:t>
            </w:r>
          </w:p>
        </w:tc>
        <w:tc>
          <w:tcPr/>
          <w:p>
            <w:pPr>
              <w:pStyle w:val="Compact"/>
              <w:jc w:val="left"/>
            </w:pPr>
            <w:r>
              <w:t xml:space="preserve">kg</w:t>
            </w:r>
          </w:p>
        </w:tc>
        <w:tc>
          <w:tcPr/>
          <w:p>
            <w:pPr>
              <w:pStyle w:val="Compact"/>
              <w:jc w:val="left"/>
            </w:pPr>
            <w:r>
              <w:t xml:space="preserve">3.5</w:t>
            </w:r>
          </w:p>
        </w:tc>
        <w:tc>
          <w:tcPr/>
          <w:p>
            <w:pPr>
              <w:pStyle w:val="Compact"/>
              <w:jc w:val="left"/>
            </w:pPr>
            <w:r>
              <w:t xml:space="preserve">0.875</w:t>
            </w:r>
          </w:p>
        </w:tc>
      </w:tr>
      <w:tr>
        <w:tc>
          <w:tcPr/>
          <w:p>
            <w:pPr>
              <w:pStyle w:val="Compact"/>
              <w:jc w:val="left"/>
            </w:pPr>
            <w:r>
              <w:t xml:space="preserve">3</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0.200</w:t>
            </w:r>
          </w:p>
        </w:tc>
      </w:tr>
      <w:tr>
        <w:tc>
          <w:tcPr/>
          <w:p>
            <w:pPr>
              <w:pStyle w:val="Compact"/>
              <w:jc w:val="left"/>
            </w:pPr>
            <w:r>
              <w:t xml:space="preserve">4</w:t>
            </w:r>
          </w:p>
        </w:tc>
        <w:tc>
          <w:tcPr/>
          <w:p>
            <w:pPr>
              <w:pStyle w:val="Compact"/>
              <w:jc w:val="left"/>
            </w:pPr>
            <w:r>
              <w:t xml:space="preserve">Circuit Board</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unit</w:t>
            </w:r>
          </w:p>
        </w:tc>
        <w:tc>
          <w:tcPr/>
          <w:p>
            <w:pPr>
              <w:pStyle w:val="Compact"/>
              <w:jc w:val="left"/>
            </w:pPr>
            <w:r>
              <w:t xml:space="preserve">20.0</w:t>
            </w:r>
          </w:p>
        </w:tc>
        <w:tc>
          <w:tcPr/>
          <w:p>
            <w:pPr>
              <w:pStyle w:val="Compact"/>
              <w:jc w:val="left"/>
            </w:pPr>
            <w:r>
              <w:t xml:space="preserve">0.400</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Pulping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1.5</w:t>
            </w:r>
          </w:p>
        </w:tc>
        <w:tc>
          <w:tcPr/>
          <w:p>
            <w:pPr>
              <w:pStyle w:val="Compact"/>
              <w:jc w:val="left"/>
            </w:pPr>
            <w:r>
              <w:t xml:space="preserve">0.150</w:t>
            </w:r>
          </w:p>
        </w:tc>
      </w:tr>
    </w:tbl>
    <w:p>
      <w:pPr>
        <w:pStyle w:val="BodyText"/>
      </w:pPr>
      <w:r>
        <w:rPr>
          <w:bCs/>
          <w:b/>
        </w:rPr>
        <w:t xml:space="preserve">Total Weight of Materials:</w:t>
      </w:r>
      <w:r>
        <w:t xml:space="preserve"> </w:t>
      </w:r>
      <w:r>
        <w:t xml:space="preserve">0.3 + 0.25 + 0.05 + 0.02 + 0.1 = 0.72 kg</w:t>
      </w:r>
    </w:p>
    <w:p>
      <w:pPr>
        <w:pStyle w:val="BodyText"/>
      </w:pPr>
      <w:r>
        <w:rPr>
          <w:bCs/>
          <w:b/>
        </w:rPr>
        <w:t xml:space="preserve">Total Raw Material Acquisition Emissions:</w:t>
      </w:r>
      <w:r>
        <w:t xml:space="preserve"> </w:t>
      </w:r>
      <w:r>
        <w:t xml:space="preserve">1.800 + 0.875 + 0.200 + 0.400 + 0.150 = 3.425 kgCO2e</w:t>
      </w:r>
    </w:p>
    <w:bookmarkEnd w:id="27"/>
    <w:bookmarkEnd w:id="28"/>
    <w:bookmarkStart w:id="29" w:name="manufacturing-production-phase---scope-2"/>
    <w:p>
      <w:pPr>
        <w:pStyle w:val="Heading2"/>
      </w:pPr>
      <w:r>
        <w:t xml:space="preserve">2.2 Manufacturing (Production Phase - Scope 2)</w:t>
      </w:r>
    </w:p>
    <w:p>
      <w:pPr>
        <w:pStyle w:val="FirstParagraph"/>
      </w:pPr>
      <w:r>
        <w:t xml:space="preserve">Emissions from the manufacturing process are primarily driven by energy consumption.</w:t>
      </w:r>
    </w:p>
    <w:p>
      <w:pPr>
        <w:numPr>
          <w:ilvl w:val="0"/>
          <w:numId w:val="1004"/>
        </w:numPr>
        <w:pStyle w:val="Compact"/>
      </w:pPr>
      <w:r>
        <w:rPr>
          <w:bCs/>
          <w:b/>
        </w:rPr>
        <w:t xml:space="preserve">Energy Intensity (kWh/unit):</w:t>
      </w:r>
      <w:r>
        <w:t xml:space="preserve"> </w:t>
      </w:r>
      <w:r>
        <w:t xml:space="preserve">tnuelnegxe = 10 kWh/unit</w:t>
      </w:r>
    </w:p>
    <w:p>
      <w:pPr>
        <w:numPr>
          <w:ilvl w:val="0"/>
          <w:numId w:val="1004"/>
        </w:numPr>
        <w:pStyle w:val="Compact"/>
      </w:pPr>
      <w:r>
        <w:rPr>
          <w:bCs/>
          <w:b/>
        </w:rPr>
        <w:t xml:space="preserve">Renewable Energy Usage (Percentage):</w:t>
      </w:r>
      <w:r>
        <w:t xml:space="preserve"> </w:t>
      </w:r>
      <w:r>
        <w:t xml:space="preserve">rvvlsngwnv = 70%</w:t>
      </w:r>
    </w:p>
    <w:p>
      <w:pPr>
        <w:numPr>
          <w:ilvl w:val="0"/>
          <w:numId w:val="1004"/>
        </w:numPr>
        <w:pStyle w:val="Compact"/>
      </w:pPr>
      <w:r>
        <w:rPr>
          <w:bCs/>
          <w:b/>
        </w:rPr>
        <w:t xml:space="preserve">Non-Renewable Electricity Usage:</w:t>
      </w:r>
      <w:r>
        <w:t xml:space="preserve"> </w:t>
      </w:r>
      <w:r>
        <w:t xml:space="preserve">10 kWh/unit * (1 - 0.70) = 3 kWh/unit</w:t>
      </w:r>
    </w:p>
    <w:p>
      <w:pPr>
        <w:numPr>
          <w:ilvl w:val="0"/>
          <w:numId w:val="1004"/>
        </w:numPr>
        <w:pStyle w:val="Compact"/>
      </w:pPr>
      <w:r>
        <w:rPr>
          <w:bCs/>
          <w:b/>
        </w:rPr>
        <w:t xml:space="preserve">Location:</w:t>
      </w:r>
      <w:r>
        <w:t xml:space="preserve"> </w:t>
      </w:r>
      <w:r>
        <w:t xml:space="preserve">China</w:t>
      </w:r>
    </w:p>
    <w:bookmarkEnd w:id="29"/>
    <w:bookmarkStart w:id="32" w:name="transport-and-distribution-scope-3"/>
    <w:p>
      <w:pPr>
        <w:pStyle w:val="Heading2"/>
      </w:pPr>
      <w:r>
        <w:t xml:space="preserve">2.3 Transport and Distribution (Scope 3)</w:t>
      </w:r>
    </w:p>
    <w:p>
      <w:pPr>
        <w:pStyle w:val="FirstParagraph"/>
      </w:pPr>
      <w:r>
        <w:t xml:space="preserve">Both upstream (materials to factory) and downstream (factory to customer) transportation emissions are considered.</w:t>
      </w:r>
    </w:p>
    <w:bookmarkStart w:id="30" w:name="X094c4d369b2240d0dfe2415d2c25dadd27ffb0e"/>
    <w:p>
      <w:pPr>
        <w:pStyle w:val="Heading3"/>
      </w:pPr>
      <w:r>
        <w:t xml:space="preserve">2.3.1 Upstream Transport (Raw Materials to Factory)</w:t>
      </w:r>
    </w:p>
    <w:p>
      <w:pPr>
        <w:numPr>
          <w:ilvl w:val="0"/>
          <w:numId w:val="1005"/>
        </w:numPr>
        <w:pStyle w:val="Compact"/>
      </w:pPr>
      <w:r>
        <w:rPr>
          <w:bCs/>
          <w:b/>
        </w:rPr>
        <w:t xml:space="preserve">Assumed Total Raw Material Weight:</w:t>
      </w:r>
      <w:r>
        <w:t xml:space="preserve"> </w:t>
      </w:r>
      <w:r>
        <w:t xml:space="preserve">0.72 kg (from BOM)</w:t>
      </w:r>
    </w:p>
    <w:p>
      <w:pPr>
        <w:numPr>
          <w:ilvl w:val="0"/>
          <w:numId w:val="1005"/>
        </w:numPr>
        <w:pStyle w:val="Compact"/>
      </w:pPr>
      <w:r>
        <w:rPr>
          <w:bCs/>
          <w:b/>
        </w:rPr>
        <w:t xml:space="preserve">Assumed Transport Mode:</w:t>
      </w:r>
      <w:r>
        <w:t xml:space="preserve"> </w:t>
      </w:r>
      <w:r>
        <w:t xml:space="preserve">Ocean Freight (Europe to China)</w:t>
      </w:r>
    </w:p>
    <w:p>
      <w:pPr>
        <w:numPr>
          <w:ilvl w:val="0"/>
          <w:numId w:val="1005"/>
        </w:numPr>
        <w:pStyle w:val="Compact"/>
      </w:pPr>
      <w:r>
        <w:rPr>
          <w:bCs/>
          <w:b/>
        </w:rPr>
        <w:t xml:space="preserve">Assumed Transport Distance:</w:t>
      </w:r>
      <w:r>
        <w:t xml:space="preserve"> </w:t>
      </w:r>
      <w:r>
        <w:t xml:space="preserve">5000 km</w:t>
      </w:r>
    </w:p>
    <w:bookmarkEnd w:id="30"/>
    <w:bookmarkStart w:id="31" w:name="downstream-transport-factory-to-customer"/>
    <w:p>
      <w:pPr>
        <w:pStyle w:val="Heading3"/>
      </w:pPr>
      <w:r>
        <w:t xml:space="preserve">2.3.2 Downstream Transport (Factory to Customer)</w:t>
      </w:r>
    </w:p>
    <w:p>
      <w:pPr>
        <w:numPr>
          <w:ilvl w:val="0"/>
          <w:numId w:val="1006"/>
        </w:numPr>
        <w:pStyle w:val="Compact"/>
      </w:pPr>
      <w:r>
        <w:rPr>
          <w:bCs/>
          <w:b/>
        </w:rPr>
        <w:t xml:space="preserve">Product Weight:</w:t>
      </w:r>
      <w:r>
        <w:t xml:space="preserve"> </w:t>
      </w:r>
      <w:r>
        <w:t xml:space="preserve">0.72 kg</w:t>
      </w:r>
    </w:p>
    <w:p>
      <w:pPr>
        <w:numPr>
          <w:ilvl w:val="0"/>
          <w:numId w:val="1006"/>
        </w:numPr>
        <w:pStyle w:val="Compact"/>
      </w:pPr>
      <w:r>
        <w:rPr>
          <w:bCs/>
          <w:b/>
        </w:rPr>
        <w:t xml:space="preserve">Main Transport Mode:</w:t>
      </w:r>
      <w:r>
        <w:t xml:space="preserve"> </w:t>
      </w:r>
      <w:r>
        <w:t xml:space="preserve">Select Mode = Road Freight (HGV 16-32 tonne)</w:t>
      </w:r>
    </w:p>
    <w:p>
      <w:pPr>
        <w:numPr>
          <w:ilvl w:val="0"/>
          <w:numId w:val="1006"/>
        </w:numPr>
        <w:pStyle w:val="Compact"/>
      </w:pPr>
      <w:r>
        <w:rPr>
          <w:bCs/>
          <w:b/>
        </w:rPr>
        <w:t xml:space="preserve">Main Transport Distance:</w:t>
      </w:r>
      <w:r>
        <w:t xml:space="preserve"> </w:t>
      </w:r>
      <w:r>
        <w:t xml:space="preserve">fdtipleszh = 1500 km</w:t>
      </w:r>
    </w:p>
    <w:p>
      <w:pPr>
        <w:numPr>
          <w:ilvl w:val="0"/>
          <w:numId w:val="1006"/>
        </w:numPr>
        <w:pStyle w:val="Compact"/>
      </w:pPr>
      <w:r>
        <w:rPr>
          <w:bCs/>
          <w:b/>
        </w:rPr>
        <w:t xml:space="preserve">Last-Mile Delivery Channel:</w:t>
      </w:r>
      <w:r>
        <w:t xml:space="preserve"> </w:t>
      </w:r>
      <w:r>
        <w:t xml:space="preserve">Delivery Type = Parcel Delivery Van</w:t>
      </w:r>
    </w:p>
    <w:bookmarkEnd w:id="31"/>
    <w:bookmarkEnd w:id="32"/>
    <w:bookmarkStart w:id="33" w:name="use-phase-downstream---scope-3"/>
    <w:p>
      <w:pPr>
        <w:pStyle w:val="Heading2"/>
      </w:pPr>
      <w:r>
        <w:t xml:space="preserve">2.4 Use Phase (Downstream - Scope 3)</w:t>
      </w:r>
    </w:p>
    <w:p>
      <w:pPr>
        <w:pStyle w:val="FirstParagraph"/>
      </w:pPr>
      <w:r>
        <w:t xml:space="preserve">The use phase emissions are calculated based on the product\'s lifespan and energy consumption during use.</w:t>
      </w:r>
    </w:p>
    <w:p>
      <w:pPr>
        <w:numPr>
          <w:ilvl w:val="0"/>
          <w:numId w:val="1007"/>
        </w:numPr>
        <w:pStyle w:val="Compact"/>
      </w:pPr>
      <w:r>
        <w:rPr>
          <w:bCs/>
          <w:b/>
        </w:rPr>
        <w:t xml:space="preserve">Product Lifespan:</w:t>
      </w:r>
      <w:r>
        <w:t xml:space="preserve"> </w:t>
      </w:r>
      <w:r>
        <w:t xml:space="preserve">phdsmrpeqg = 5 years</w:t>
      </w:r>
    </w:p>
    <w:p>
      <w:pPr>
        <w:numPr>
          <w:ilvl w:val="0"/>
          <w:numId w:val="1007"/>
        </w:numPr>
        <w:pStyle w:val="Compact"/>
      </w:pPr>
      <w:r>
        <w:rPr>
          <w:bCs/>
          <w:b/>
        </w:rPr>
        <w:t xml:space="preserve">Energy Consumption in Use (kWh/year):</w:t>
      </w:r>
      <w:r>
        <w:t xml:space="preserve"> </w:t>
      </w:r>
      <w:r>
        <w:t xml:space="preserve">lsudxrovmh = 20 kWh/year</w:t>
      </w:r>
    </w:p>
    <w:p>
      <w:pPr>
        <w:numPr>
          <w:ilvl w:val="0"/>
          <w:numId w:val="1007"/>
        </w:numPr>
        <w:pStyle w:val="Compact"/>
      </w:pPr>
      <w:r>
        <w:rPr>
          <w:bCs/>
          <w:b/>
        </w:rPr>
        <w:t xml:space="preserve">Total Energy Consumption in Use:</w:t>
      </w:r>
      <w:r>
        <w:t xml:space="preserve"> </w:t>
      </w:r>
      <w:r>
        <w:t xml:space="preserve">5 years * 20 kWh/year = 100 kWh</w:t>
      </w:r>
    </w:p>
    <w:p>
      <w:pPr>
        <w:numPr>
          <w:ilvl w:val="0"/>
          <w:numId w:val="1007"/>
        </w:numPr>
        <w:pStyle w:val="Compact"/>
      </w:pPr>
      <w:r>
        <w:rPr>
          <w:bCs/>
          <w:b/>
        </w:rPr>
        <w:t xml:space="preserve">Assumed Location for Use:</w:t>
      </w:r>
      <w:r>
        <w:t xml:space="preserve"> </w:t>
      </w:r>
      <w:r>
        <w:t xml:space="preserve">Europe</w:t>
      </w:r>
    </w:p>
    <w:bookmarkEnd w:id="33"/>
    <w:bookmarkStart w:id="34" w:name="end-of-life-eol---downstream---scope-3"/>
    <w:p>
      <w:pPr>
        <w:pStyle w:val="Heading2"/>
      </w:pPr>
      <w:r>
        <w:t xml:space="preserve">2.5 End-of-Life (EoL - Downstream - Scope 3)</w:t>
      </w:r>
    </w:p>
    <w:p>
      <w:pPr>
        <w:pStyle w:val="FirstParagraph"/>
      </w:pPr>
      <w:r>
        <w:t xml:space="preserve">End-of-life scenarios consider recyclability and circular economy programs.</w:t>
      </w:r>
    </w:p>
    <w:p>
      <w:pPr>
        <w:numPr>
          <w:ilvl w:val="0"/>
          <w:numId w:val="1008"/>
        </w:numPr>
        <w:pStyle w:val="Compact"/>
      </w:pPr>
      <w:r>
        <w:rPr>
          <w:bCs/>
          <w:b/>
        </w:rPr>
        <w:t xml:space="preserve">Recyclability Percentage:</w:t>
      </w:r>
      <w:r>
        <w:t xml:space="preserve"> </w:t>
      </w:r>
      <w:r>
        <w:t xml:space="preserve">exidxnqdxo = 60%</w:t>
      </w:r>
    </w:p>
    <w:p>
      <w:pPr>
        <w:numPr>
          <w:ilvl w:val="0"/>
          <w:numId w:val="1008"/>
        </w:numPr>
        <w:pStyle w:val="Compact"/>
      </w:pPr>
      <w:r>
        <w:rPr>
          <w:bCs/>
          <w:b/>
        </w:rPr>
        <w:t xml:space="preserve">Circular/Take-back Programs:</w:t>
      </w:r>
      <w:r>
        <w:t xml:space="preserve"> </w:t>
      </w:r>
      <w:r>
        <w:t xml:space="preserve">ukgzrifeuz = Established take-back program for key components.</w:t>
      </w:r>
    </w:p>
    <w:p>
      <w:pPr>
        <w:numPr>
          <w:ilvl w:val="0"/>
          <w:numId w:val="1008"/>
        </w:numPr>
        <w:pStyle w:val="Compact"/>
      </w:pPr>
      <w:r>
        <w:rPr>
          <w:bCs/>
          <w:b/>
        </w:rPr>
        <w:t xml:space="preserve">Non-recycled portion:</w:t>
      </w:r>
      <w:r>
        <w:t xml:space="preserve"> </w:t>
      </w:r>
      <w:r>
        <w:t xml:space="preserve">1 - 0.60 = 0.40 (40%)</w:t>
      </w:r>
    </w:p>
    <w:p>
      <w:pPr>
        <w:numPr>
          <w:ilvl w:val="0"/>
          <w:numId w:val="1008"/>
        </w:numPr>
        <w:pStyle w:val="Compact"/>
      </w:pPr>
      <w:r>
        <w:rPr>
          <w:bCs/>
          <w:b/>
        </w:rPr>
        <w:t xml:space="preserve">Product Weight:</w:t>
      </w:r>
      <w:r>
        <w:t xml:space="preserve"> </w:t>
      </w:r>
      <w:r>
        <w:t xml:space="preserve">0.72 kg</w:t>
      </w:r>
    </w:p>
    <w:p>
      <w:r>
        <w:pict>
          <v:rect style="width:0;height:1.5pt" o:hralign="center" o:hrstd="t" o:hr="t"/>
        </w:pict>
      </w:r>
    </w:p>
    <w:bookmarkEnd w:id="34"/>
    <w:bookmarkEnd w:id="35"/>
    <w:bookmarkStart w:id="43" w:name="X2c62247db19834934c44c209ad423fe06ba5c64"/>
    <w:p>
      <w:pPr>
        <w:pStyle w:val="Heading1"/>
      </w:pPr>
      <w:r>
        <w:t xml:space="preserve">3. Calculation of Emissions (Activity * Emission Factor = CO2e)</w:t>
      </w:r>
    </w:p>
    <w:p>
      <w:pPr>
        <w:pStyle w:val="FirstParagraph"/>
      </w:pPr>
      <w:r>
        <w:t xml:space="preserve">This section details the calculation of emissions for each lifecycle stage, categorized by GHG Protocol scopes. Industry-standard emission factors from sources like Ecoinvent and DEFRA have been utilized.</w:t>
      </w:r>
    </w:p>
    <w:bookmarkStart w:id="36" w:name="X49637c1ad15f74a8945fbd1fbd58bd762f80279"/>
    <w:p>
      <w:pPr>
        <w:pStyle w:val="Heading2"/>
      </w:pPr>
      <w:r>
        <w:t xml:space="preserve">3.1 Emission Factors Used (Illustrative Averages)</w:t>
      </w:r>
    </w:p>
    <w:p>
      <w:pPr>
        <w:numPr>
          <w:ilvl w:val="0"/>
          <w:numId w:val="1009"/>
        </w:numPr>
        <w:pStyle w:val="Compact"/>
      </w:pPr>
      <w:r>
        <w:rPr>
          <w:bCs/>
          <w:b/>
        </w:rPr>
        <w:t xml:space="preserve">China Grid Electricity:</w:t>
      </w:r>
      <w:r>
        <w:t xml:space="preserve"> </w:t>
      </w:r>
      <w:r>
        <w:t xml:space="preserve">0.57 kgCO2e/kWh (Average for China)</w:t>
      </w:r>
    </w:p>
    <w:p>
      <w:pPr>
        <w:numPr>
          <w:ilvl w:val="0"/>
          <w:numId w:val="1009"/>
        </w:numPr>
        <w:pStyle w:val="Compact"/>
      </w:pPr>
      <w:r>
        <w:rPr>
          <w:bCs/>
          <w:b/>
        </w:rPr>
        <w:t xml:space="preserve">Europe Grid Electricity:</w:t>
      </w:r>
      <w:r>
        <w:t xml:space="preserve"> </w:t>
      </w:r>
      <w:r>
        <w:t xml:space="preserve">0.30 kgCO2e/kWh (Average for Europe)</w:t>
      </w:r>
    </w:p>
    <w:p>
      <w:pPr>
        <w:numPr>
          <w:ilvl w:val="0"/>
          <w:numId w:val="1009"/>
        </w:numPr>
        <w:pStyle w:val="Compact"/>
      </w:pPr>
      <w:r>
        <w:rPr>
          <w:bCs/>
          <w:b/>
        </w:rPr>
        <w:t xml:space="preserve">Ocean Freight (Avg):</w:t>
      </w:r>
      <w:r>
        <w:t xml:space="preserve"> </w:t>
      </w:r>
      <w:r>
        <w:t xml:space="preserve">0.01 kgCO2e/tkm (tonne-kilometer)</w:t>
      </w:r>
    </w:p>
    <w:p>
      <w:pPr>
        <w:numPr>
          <w:ilvl w:val="0"/>
          <w:numId w:val="1009"/>
        </w:numPr>
        <w:pStyle w:val="Compact"/>
      </w:pPr>
      <w:r>
        <w:rPr>
          <w:bCs/>
          <w:b/>
        </w:rPr>
        <w:t xml:space="preserve">Road Freight (HGV 16-32 tonne, Avg):</w:t>
      </w:r>
      <w:r>
        <w:t xml:space="preserve"> </w:t>
      </w:r>
      <w:r>
        <w:t xml:space="preserve">0.10 kgCO2e/tkm</w:t>
      </w:r>
    </w:p>
    <w:p>
      <w:pPr>
        <w:numPr>
          <w:ilvl w:val="0"/>
          <w:numId w:val="1009"/>
        </w:numPr>
        <w:pStyle w:val="Compact"/>
      </w:pPr>
      <w:r>
        <w:rPr>
          <w:bCs/>
          <w:b/>
        </w:rPr>
        <w:t xml:space="preserve">Parcel Delivery Van (Last-Mile, Avg):</w:t>
      </w:r>
      <w:r>
        <w:t xml:space="preserve"> </w:t>
      </w:r>
      <w:r>
        <w:t xml:space="preserve">0.15 kgCO2e/unit (simplified)</w:t>
      </w:r>
    </w:p>
    <w:p>
      <w:pPr>
        <w:numPr>
          <w:ilvl w:val="0"/>
          <w:numId w:val="1009"/>
        </w:numPr>
        <w:pStyle w:val="Compact"/>
      </w:pPr>
      <w:r>
        <w:rPr>
          <w:bCs/>
          <w:b/>
        </w:rPr>
        <w:t xml:space="preserve">Waste Landfilling (Generic):</w:t>
      </w:r>
      <w:r>
        <w:t xml:space="preserve"> </w:t>
      </w:r>
      <w:r>
        <w:t xml:space="preserve">0.5 kgCO2e/kg (for non-recycled portion)</w:t>
      </w:r>
    </w:p>
    <w:bookmarkEnd w:id="36"/>
    <w:bookmarkStart w:id="42" w:name="ghg-protocol-scopes-breakdown"/>
    <w:p>
      <w:pPr>
        <w:pStyle w:val="Heading2"/>
      </w:pPr>
      <w:r>
        <w:t xml:space="preserve">3.2 GHG Protocol Scopes Breakdown</w:t>
      </w:r>
    </w:p>
    <w:bookmarkStart w:id="37" w:name="scope-1-direct-emissions"/>
    <w:p>
      <w:pPr>
        <w:pStyle w:val="Heading3"/>
      </w:pPr>
      <w:r>
        <w:t xml:space="preserve">3.2.1 Scope 1: Direct Emissions</w:t>
      </w:r>
    </w:p>
    <w:p>
      <w:pPr>
        <w:pStyle w:val="FirstParagraph"/>
      </w:pPr>
      <w:r>
        <w:t xml:space="preserve">No specific direct emissions (e.g., on-site fuel combustion by company-owned vehicles/equipment) were provided as explicit parameters for the manufacturing of esxgwxtnwn. Thus, Scope 1 emissions are considered negligible or implicitly covered within upstream BOM data if processes include direct combustion. If pizumkrwsv operates any vehicles or stationary combustion sources at the factory, these would be quantified here.</w:t>
      </w:r>
    </w:p>
    <w:p>
      <w:pPr>
        <w:pStyle w:val="BodyText"/>
      </w:pPr>
      <w:r>
        <w:rPr>
          <w:bCs/>
          <w:b/>
        </w:rPr>
        <w:t xml:space="preserve">Total Scope 1 Emissions:</w:t>
      </w:r>
      <w:r>
        <w:t xml:space="preserve"> </w:t>
      </w:r>
      <w:r>
        <w:t xml:space="preserve">0.00 kgCO2e</w:t>
      </w:r>
    </w:p>
    <w:bookmarkEnd w:id="37"/>
    <w:bookmarkStart w:id="38" w:name="X940f739cc6425d99b84e128f190b13e064c5cd0"/>
    <w:p>
      <w:pPr>
        <w:pStyle w:val="Heading3"/>
      </w:pPr>
      <w:r>
        <w:t xml:space="preserve">3.2.2 Scope 2: Indirect Emissions from Purchased Energy</w:t>
      </w:r>
    </w:p>
    <w:p>
      <w:pPr>
        <w:pStyle w:val="FirstParagraph"/>
      </w:pPr>
      <w:r>
        <w:t xml:space="preserve">These emissions arise from the generation of purchased electricity for manufacturing.</w:t>
      </w:r>
    </w:p>
    <w:p>
      <w:pPr>
        <w:numPr>
          <w:ilvl w:val="0"/>
          <w:numId w:val="1010"/>
        </w:numPr>
        <w:pStyle w:val="Compact"/>
      </w:pPr>
      <w:r>
        <w:rPr>
          <w:bCs/>
          <w:b/>
        </w:rPr>
        <w:t xml:space="preserve">Non-Renewable Electricity Used:</w:t>
      </w:r>
      <w:r>
        <w:t xml:space="preserve"> </w:t>
      </w:r>
      <w:r>
        <w:t xml:space="preserve">3 kWh/unit</w:t>
      </w:r>
    </w:p>
    <w:p>
      <w:pPr>
        <w:numPr>
          <w:ilvl w:val="0"/>
          <w:numId w:val="1010"/>
        </w:numPr>
        <w:pStyle w:val="Compact"/>
      </w:pPr>
      <w:r>
        <w:rPr>
          <w:bCs/>
          <w:b/>
        </w:rPr>
        <w:t xml:space="preserve">China Grid Emission Factor:</w:t>
      </w:r>
      <w:r>
        <w:t xml:space="preserve"> </w:t>
      </w:r>
      <w:r>
        <w:t xml:space="preserve">0.57 kgCO2e/kWh</w:t>
      </w:r>
    </w:p>
    <w:p>
      <w:pPr>
        <w:numPr>
          <w:ilvl w:val="0"/>
          <w:numId w:val="1010"/>
        </w:numPr>
        <w:pStyle w:val="Compact"/>
      </w:pPr>
      <w:r>
        <w:rPr>
          <w:bCs/>
          <w:b/>
        </w:rPr>
        <w:t xml:space="preserve">Calculation:</w:t>
      </w:r>
      <w:r>
        <w:t xml:space="preserve"> </w:t>
      </w:r>
      <w:r>
        <w:t xml:space="preserve">3 kWh/unit * 0.57 kgCO2e/kWh = 1.71 kgCO2e/unit</w:t>
      </w:r>
    </w:p>
    <w:p>
      <w:pPr>
        <w:pStyle w:val="FirstParagraph"/>
      </w:pPr>
      <w:r>
        <w:rPr>
          <w:bCs/>
          <w:b/>
        </w:rPr>
        <w:t xml:space="preserve">Total Scope 2 Emissions:</w:t>
      </w:r>
      <w:r>
        <w:t xml:space="preserve"> </w:t>
      </w:r>
      <w:r>
        <w:t xml:space="preserve">1.71 kgCO2e</w:t>
      </w:r>
    </w:p>
    <w:bookmarkEnd w:id="38"/>
    <w:bookmarkStart w:id="41" w:name="Xd1c2b652bc5876514f180a21f002993b8de8e83"/>
    <w:p>
      <w:pPr>
        <w:pStyle w:val="Heading3"/>
      </w:pPr>
      <w:r>
        <w:t xml:space="preserve">3.2.3 Scope 3: Other Indirect Emissions (Value Chain)</w:t>
      </w:r>
    </w:p>
    <w:p>
      <w:pPr>
        <w:pStyle w:val="FirstParagraph"/>
      </w:pPr>
      <w:r>
        <w:t xml:space="preserve">Scope 3 emissions include all other indirect emissions, both upstream and downstream, throughout the product\'s value chain.</w:t>
      </w:r>
    </w:p>
    <w:bookmarkStart w:id="39" w:name="upstream-emissions"/>
    <w:p>
      <w:pPr>
        <w:pStyle w:val="Heading4"/>
      </w:pPr>
      <w:r>
        <w:t xml:space="preserve">3.2.3.1 Upstream Emissions</w:t>
      </w:r>
    </w:p>
    <w:p>
      <w:pPr>
        <w:numPr>
          <w:ilvl w:val="0"/>
          <w:numId w:val="1011"/>
        </w:numPr>
        <w:pStyle w:val="Compact"/>
      </w:pPr>
      <w:r>
        <w:rPr>
          <w:bCs/>
          <w:b/>
        </w:rPr>
        <w:t xml:space="preserve">Purchased Goods and Services (Raw Materials):</w:t>
      </w:r>
    </w:p>
    <w:p>
      <w:pPr>
        <w:numPr>
          <w:ilvl w:val="1"/>
          <w:numId w:val="1012"/>
        </w:numPr>
        <w:pStyle w:val="Compact"/>
      </w:pPr>
      <w:r>
        <w:rPr>
          <w:bCs/>
          <w:b/>
        </w:rPr>
        <w:t xml:space="preserve">Total Raw Material Acquisition Emissions:</w:t>
      </w:r>
      <w:r>
        <w:t xml:space="preserve"> </w:t>
      </w:r>
      <w:r>
        <w:t xml:space="preserve">3.425 kgCO2e (from BOM data). These emissions cover the extraction and production of purchased materials.</w:t>
      </w:r>
    </w:p>
    <w:p>
      <w:pPr>
        <w:numPr>
          <w:ilvl w:val="0"/>
          <w:numId w:val="1011"/>
        </w:numPr>
        <w:pStyle w:val="Compact"/>
      </w:pPr>
      <w:r>
        <w:rPr>
          <w:bCs/>
          <w:b/>
        </w:rPr>
        <w:t xml:space="preserve">Upstream Transportation and Distribution:</w:t>
      </w:r>
    </w:p>
    <w:p>
      <w:pPr>
        <w:numPr>
          <w:ilvl w:val="1"/>
          <w:numId w:val="1013"/>
        </w:numPr>
        <w:pStyle w:val="Compact"/>
      </w:pPr>
      <w:r>
        <w:rPr>
          <w:bCs/>
          <w:b/>
        </w:rPr>
        <w:t xml:space="preserve">Assumed Upstream Transport Weight:</w:t>
      </w:r>
      <w:r>
        <w:t xml:space="preserve"> </w:t>
      </w:r>
      <w:r>
        <w:t xml:space="preserve">0.72 kg = 0.00072 tonnes</w:t>
      </w:r>
    </w:p>
    <w:p>
      <w:pPr>
        <w:numPr>
          <w:ilvl w:val="1"/>
          <w:numId w:val="1013"/>
        </w:numPr>
        <w:pStyle w:val="Compact"/>
      </w:pPr>
      <w:r>
        <w:rPr>
          <w:bCs/>
          <w:b/>
        </w:rPr>
        <w:t xml:space="preserve">Assumed Upstream Transport Distance:</w:t>
      </w:r>
      <w:r>
        <w:t xml:space="preserve"> </w:t>
      </w:r>
      <w:r>
        <w:t xml:space="preserve">5000 km (Ocean Freight)</w:t>
      </w:r>
    </w:p>
    <w:p>
      <w:pPr>
        <w:numPr>
          <w:ilvl w:val="1"/>
          <w:numId w:val="1013"/>
        </w:numPr>
        <w:pStyle w:val="Compact"/>
      </w:pPr>
      <w:r>
        <w:rPr>
          <w:bCs/>
          <w:b/>
        </w:rPr>
        <w:t xml:space="preserve">Calculation:</w:t>
      </w:r>
      <w:r>
        <w:t xml:space="preserve"> </w:t>
      </w:r>
      <w:r>
        <w:t xml:space="preserve">0.00072 tonnes * 5000 km * 0.01 kgCO2e/tkm = 0.036 kgCO2e</w:t>
      </w:r>
    </w:p>
    <w:p>
      <w:pPr>
        <w:pStyle w:val="FirstParagraph"/>
      </w:pPr>
      <w:r>
        <w:rPr>
          <w:bCs/>
          <w:b/>
        </w:rPr>
        <w:t xml:space="preserve">Total Upstream Scope 3 Emissions:</w:t>
      </w:r>
      <w:r>
        <w:t xml:space="preserve"> </w:t>
      </w:r>
      <w:r>
        <w:t xml:space="preserve">3.425 + 0.036 = 3.461 kgCO2e</w:t>
      </w:r>
    </w:p>
    <w:bookmarkEnd w:id="39"/>
    <w:bookmarkStart w:id="40" w:name="downstream-emissions"/>
    <w:p>
      <w:pPr>
        <w:pStyle w:val="Heading4"/>
      </w:pPr>
      <w:r>
        <w:t xml:space="preserve">3.2.3.2 Downstream Emissions</w:t>
      </w:r>
    </w:p>
    <w:p>
      <w:pPr>
        <w:numPr>
          <w:ilvl w:val="0"/>
          <w:numId w:val="1014"/>
        </w:numPr>
        <w:pStyle w:val="Compact"/>
      </w:pPr>
      <w:r>
        <w:rPr>
          <w:bCs/>
          <w:b/>
        </w:rPr>
        <w:t xml:space="preserve">Downstream Transportation and Distribution:</w:t>
      </w:r>
    </w:p>
    <w:p>
      <w:pPr>
        <w:numPr>
          <w:ilvl w:val="1"/>
          <w:numId w:val="1015"/>
        </w:numPr>
        <w:pStyle w:val="Compact"/>
      </w:pPr>
      <w:r>
        <w:rPr>
          <w:bCs/>
          <w:b/>
        </w:rPr>
        <w:t xml:space="preserve">Main Transport (Road Freight):</w:t>
      </w:r>
    </w:p>
    <w:p>
      <w:pPr>
        <w:numPr>
          <w:ilvl w:val="2"/>
          <w:numId w:val="1016"/>
        </w:numPr>
        <w:pStyle w:val="Compact"/>
      </w:pPr>
      <w:r>
        <w:rPr>
          <w:bCs/>
          <w:b/>
        </w:rPr>
        <w:t xml:space="preserve">Product Weight:</w:t>
      </w:r>
      <w:r>
        <w:t xml:space="preserve"> </w:t>
      </w:r>
      <w:r>
        <w:t xml:space="preserve">0.72 kg = 0.00072 tonnes</w:t>
      </w:r>
    </w:p>
    <w:p>
      <w:pPr>
        <w:numPr>
          <w:ilvl w:val="2"/>
          <w:numId w:val="1016"/>
        </w:numPr>
        <w:pStyle w:val="Compact"/>
      </w:pPr>
      <w:r>
        <w:rPr>
          <w:bCs/>
          <w:b/>
        </w:rPr>
        <w:t xml:space="preserve">Transport Distance:</w:t>
      </w:r>
      <w:r>
        <w:t xml:space="preserve"> </w:t>
      </w:r>
      <w:r>
        <w:t xml:space="preserve">1500 km</w:t>
      </w:r>
    </w:p>
    <w:p>
      <w:pPr>
        <w:numPr>
          <w:ilvl w:val="2"/>
          <w:numId w:val="1016"/>
        </w:numPr>
        <w:pStyle w:val="Compact"/>
      </w:pPr>
      <w:r>
        <w:rPr>
          <w:bCs/>
          <w:b/>
        </w:rPr>
        <w:t xml:space="preserve">Calculation:</w:t>
      </w:r>
      <w:r>
        <w:t xml:space="preserve"> </w:t>
      </w:r>
      <w:r>
        <w:t xml:space="preserve">0.00072 tonnes * 1500 km * 0.10 kgCO2e/tkm = 0.108 kgCO2e</w:t>
      </w:r>
    </w:p>
    <w:p>
      <w:pPr>
        <w:numPr>
          <w:ilvl w:val="1"/>
          <w:numId w:val="1015"/>
        </w:numPr>
        <w:pStyle w:val="Compact"/>
      </w:pPr>
      <w:r>
        <w:rPr>
          <w:bCs/>
          <w:b/>
        </w:rPr>
        <w:t xml:space="preserve">Last-Mile Delivery (Parcel Delivery Van):</w:t>
      </w:r>
    </w:p>
    <w:p>
      <w:pPr>
        <w:numPr>
          <w:ilvl w:val="2"/>
          <w:numId w:val="1017"/>
        </w:numPr>
        <w:pStyle w:val="Compact"/>
      </w:pPr>
      <w:r>
        <w:rPr>
          <w:bCs/>
          <w:b/>
        </w:rPr>
        <w:t xml:space="preserve">Calculation:</w:t>
      </w:r>
      <w:r>
        <w:t xml:space="preserve"> </w:t>
      </w:r>
      <w:r>
        <w:t xml:space="preserve">0.15 kgCO2e/unit</w:t>
      </w:r>
    </w:p>
    <w:p>
      <w:pPr>
        <w:numPr>
          <w:ilvl w:val="1"/>
          <w:numId w:val="1015"/>
        </w:numPr>
        <w:pStyle w:val="Compact"/>
      </w:pPr>
      <w:r>
        <w:rPr>
          <w:bCs/>
          <w:b/>
        </w:rPr>
        <w:t xml:space="preserve">Total Downstream Transport:</w:t>
      </w:r>
      <w:r>
        <w:t xml:space="preserve"> </w:t>
      </w:r>
      <w:r>
        <w:t xml:space="preserve">0.108 + 0.15 = 0.258 kgCO2e</w:t>
      </w:r>
    </w:p>
    <w:p>
      <w:pPr>
        <w:numPr>
          <w:ilvl w:val="0"/>
          <w:numId w:val="1014"/>
        </w:numPr>
        <w:pStyle w:val="Compact"/>
      </w:pPr>
      <w:r>
        <w:rPr>
          <w:bCs/>
          <w:b/>
        </w:rPr>
        <w:t xml:space="preserve">Use of Sold Products:</w:t>
      </w:r>
    </w:p>
    <w:p>
      <w:pPr>
        <w:numPr>
          <w:ilvl w:val="1"/>
          <w:numId w:val="1018"/>
        </w:numPr>
        <w:pStyle w:val="Compact"/>
      </w:pPr>
      <w:r>
        <w:rPr>
          <w:bCs/>
          <w:b/>
        </w:rPr>
        <w:t xml:space="preserve">Total Energy Consumption in Use:</w:t>
      </w:r>
      <w:r>
        <w:t xml:space="preserve"> </w:t>
      </w:r>
      <w:r>
        <w:t xml:space="preserve">100 kWh</w:t>
      </w:r>
    </w:p>
    <w:p>
      <w:pPr>
        <w:numPr>
          <w:ilvl w:val="1"/>
          <w:numId w:val="1018"/>
        </w:numPr>
        <w:pStyle w:val="Compact"/>
      </w:pPr>
      <w:r>
        <w:rPr>
          <w:bCs/>
          <w:b/>
        </w:rPr>
        <w:t xml:space="preserve">Europe Grid Emission Factor:</w:t>
      </w:r>
      <w:r>
        <w:t xml:space="preserve"> </w:t>
      </w:r>
      <w:r>
        <w:t xml:space="preserve">0.30 kgCO2e/kWh</w:t>
      </w:r>
    </w:p>
    <w:p>
      <w:pPr>
        <w:numPr>
          <w:ilvl w:val="1"/>
          <w:numId w:val="1018"/>
        </w:numPr>
        <w:pStyle w:val="Compact"/>
      </w:pPr>
      <w:r>
        <w:rPr>
          <w:bCs/>
          <w:b/>
        </w:rPr>
        <w:t xml:space="preserve">Calculation:</w:t>
      </w:r>
      <w:r>
        <w:t xml:space="preserve"> </w:t>
      </w:r>
      <w:r>
        <w:t xml:space="preserve">100 kWh * 0.30 kgCO2e/kWh = 30.00 kgCO2e</w:t>
      </w:r>
    </w:p>
    <w:p>
      <w:pPr>
        <w:numPr>
          <w:ilvl w:val="0"/>
          <w:numId w:val="1014"/>
        </w:numPr>
        <w:pStyle w:val="Compact"/>
      </w:pPr>
      <w:r>
        <w:rPr>
          <w:bCs/>
          <w:b/>
        </w:rPr>
        <w:t xml:space="preserve">End-of-Life Treatment of Sold Products:</w:t>
      </w:r>
    </w:p>
    <w:p>
      <w:pPr>
        <w:numPr>
          <w:ilvl w:val="1"/>
          <w:numId w:val="1019"/>
        </w:numPr>
        <w:pStyle w:val="Compact"/>
      </w:pPr>
      <w:r>
        <w:rPr>
          <w:bCs/>
          <w:b/>
        </w:rPr>
        <w:t xml:space="preserve">Non-Recycled Portion:</w:t>
      </w:r>
      <w:r>
        <w:t xml:space="preserve"> </w:t>
      </w:r>
      <w:r>
        <w:t xml:space="preserve">0.40</w:t>
      </w:r>
    </w:p>
    <w:p>
      <w:pPr>
        <w:numPr>
          <w:ilvl w:val="1"/>
          <w:numId w:val="1019"/>
        </w:numPr>
        <w:pStyle w:val="Compact"/>
      </w:pPr>
      <w:r>
        <w:rPr>
          <w:bCs/>
          <w:b/>
        </w:rPr>
        <w:t xml:space="preserve">Product Weight:</w:t>
      </w:r>
      <w:r>
        <w:t xml:space="preserve"> </w:t>
      </w:r>
      <w:r>
        <w:t xml:space="preserve">0.72 kg</w:t>
      </w:r>
    </w:p>
    <w:p>
      <w:pPr>
        <w:numPr>
          <w:ilvl w:val="1"/>
          <w:numId w:val="1019"/>
        </w:numPr>
        <w:pStyle w:val="Compact"/>
      </w:pPr>
      <w:r>
        <w:rPr>
          <w:bCs/>
          <w:b/>
        </w:rPr>
        <w:t xml:space="preserve">Weight to Landfill:</w:t>
      </w:r>
      <w:r>
        <w:t xml:space="preserve"> </w:t>
      </w:r>
      <w:r>
        <w:t xml:space="preserve">0.72 kg * 0.40 = 0.288 kg</w:t>
      </w:r>
    </w:p>
    <w:p>
      <w:pPr>
        <w:numPr>
          <w:ilvl w:val="1"/>
          <w:numId w:val="1019"/>
        </w:numPr>
        <w:pStyle w:val="Compact"/>
      </w:pPr>
      <w:r>
        <w:rPr>
          <w:bCs/>
          <w:b/>
        </w:rPr>
        <w:t xml:space="preserve">Waste Landfilling Emission Factor:</w:t>
      </w:r>
      <w:r>
        <w:t xml:space="preserve"> </w:t>
      </w:r>
      <w:r>
        <w:t xml:space="preserve">0.5 kgCO2e/kg</w:t>
      </w:r>
    </w:p>
    <w:p>
      <w:pPr>
        <w:numPr>
          <w:ilvl w:val="1"/>
          <w:numId w:val="1019"/>
        </w:numPr>
        <w:pStyle w:val="Compact"/>
      </w:pPr>
      <w:r>
        <w:rPr>
          <w:bCs/>
          <w:b/>
        </w:rPr>
        <w:t xml:space="preserve">Calculation:</w:t>
      </w:r>
      <w:r>
        <w:t xml:space="preserve"> </w:t>
      </w:r>
      <w:r>
        <w:t xml:space="preserve">0.288 kg * 0.5 kgCO2e/kg = 0.144 kgCO2e</w:t>
      </w:r>
    </w:p>
    <w:p>
      <w:pPr>
        <w:numPr>
          <w:ilvl w:val="1"/>
          <w:numId w:val="1019"/>
        </w:numPr>
        <w:pStyle w:val="Compact"/>
      </w:pPr>
      <w:r>
        <w:t xml:space="preserve">The "Established take-back program for key components" (ukgzrifeuz) suggests efforts to extend product life or facilitate material recovery, which can further reduce EoL impact beyond the calculated recyclability percentage. This is a positive qualitative aspect.</w:t>
      </w:r>
    </w:p>
    <w:p>
      <w:pPr>
        <w:pStyle w:val="FirstParagraph"/>
      </w:pPr>
      <w:r>
        <w:rPr>
          <w:bCs/>
          <w:b/>
        </w:rPr>
        <w:t xml:space="preserve">Total Downstream Scope 3 Emissions:</w:t>
      </w:r>
      <w:r>
        <w:t xml:space="preserve"> </w:t>
      </w:r>
      <w:r>
        <w:t xml:space="preserve">0.258 + 30.00 + 0.144 = 30.402 kgCO2e</w:t>
      </w:r>
    </w:p>
    <w:p>
      <w:r>
        <w:pict>
          <v:rect style="width:0;height:1.5pt" o:hralign="center" o:hrstd="t" o:hr="t"/>
        </w:pict>
      </w:r>
    </w:p>
    <w:bookmarkEnd w:id="40"/>
    <w:bookmarkEnd w:id="41"/>
    <w:bookmarkEnd w:id="42"/>
    <w:bookmarkEnd w:id="43"/>
    <w:bookmarkStart w:id="46" w:name="X39db36958ac3f1b7b6914e15908983dbbc51aad"/>
    <w:p>
      <w:pPr>
        <w:pStyle w:val="Heading1"/>
      </w:pPr>
      <w:r>
        <w:t xml:space="preserve">4. GHG Protocol 2026 LSR Update &amp; Scope 3 Compliance</w:t>
      </w:r>
    </w:p>
    <w:bookmarkStart w:id="44" w:name="land-sector-and-removals-lsr-standard"/>
    <w:p>
      <w:pPr>
        <w:pStyle w:val="Heading2"/>
      </w:pPr>
      <w:r>
        <w:t xml:space="preserve">4.1 2026 Land Sector and Removals (LSR) Standard</w:t>
      </w:r>
    </w:p>
    <w:p>
      <w:pPr>
        <w:pStyle w:val="FirstParagraph"/>
      </w:pPr>
      <w:r>
        <w:t xml:space="preserve">The GHG Protocol\'s Land Sector and Removals (LSR) Standard, which takes effect on January 1, 2027, provides guidelines for quantifying and reporting emissions and removals from land management and land use change, as well as technological CO2 removals. While the accompanying guidance is expected in Q2 2026, pizumkrwsv should prepare for its implications. For this specific product, esxgwxtnwn, and based on the provided parameters, direct land-use change emissions or significant carbon removals were not explicitly identified. The impact from raw materials, such as packaging cardboard, might involve biogenic carbon. However, quantifying such impacts under the LSR Standard would require more detailed data on the specific land management practices, origin, and fate of these biogenic materials. This analysis acknowledges the importance of the LSR Standard for entities with significant land-based activities in their operations or value chain.</w:t>
      </w:r>
    </w:p>
    <w:bookmarkEnd w:id="44"/>
    <w:bookmarkStart w:id="45" w:name="scope-3-compliance-95-coverage"/>
    <w:p>
      <w:pPr>
        <w:pStyle w:val="Heading2"/>
      </w:pPr>
      <w:r>
        <w:t xml:space="preserve">4.2 Scope 3 Compliance (&gt;= 95% Coverage)</w:t>
      </w:r>
    </w:p>
    <w:p>
      <w:pPr>
        <w:pStyle w:val="FirstParagraph"/>
      </w:pPr>
      <w:r>
        <w:t xml:space="preserve">This analysis has endeavored to ensure at least 95% coverage for Scope 3 reporting, as per 2026 requirements, by including all quantifiable upstream and downstream elements of the product\'s lifecycle where data was provided or reasonably estimated. The key Scope 3 categories covered are:</w:t>
      </w:r>
    </w:p>
    <w:p>
      <w:pPr>
        <w:numPr>
          <w:ilvl w:val="0"/>
          <w:numId w:val="1020"/>
        </w:numPr>
        <w:pStyle w:val="Compact"/>
      </w:pPr>
      <w:r>
        <w:t xml:space="preserve">Purchased Goods and Services (Raw Materials)</w:t>
      </w:r>
    </w:p>
    <w:p>
      <w:pPr>
        <w:numPr>
          <w:ilvl w:val="0"/>
          <w:numId w:val="1020"/>
        </w:numPr>
        <w:pStyle w:val="Compact"/>
      </w:pPr>
      <w:r>
        <w:t xml:space="preserve">Upstream Transportation and Distribution</w:t>
      </w:r>
    </w:p>
    <w:p>
      <w:pPr>
        <w:numPr>
          <w:ilvl w:val="0"/>
          <w:numId w:val="1020"/>
        </w:numPr>
        <w:pStyle w:val="Compact"/>
      </w:pPr>
      <w:r>
        <w:t xml:space="preserve">Downstream Transportation and Distribution</w:t>
      </w:r>
    </w:p>
    <w:p>
      <w:pPr>
        <w:numPr>
          <w:ilvl w:val="0"/>
          <w:numId w:val="1020"/>
        </w:numPr>
        <w:pStyle w:val="Compact"/>
      </w:pPr>
      <w:r>
        <w:t xml:space="preserve">Use of Sold Products</w:t>
      </w:r>
    </w:p>
    <w:p>
      <w:pPr>
        <w:numPr>
          <w:ilvl w:val="0"/>
          <w:numId w:val="1020"/>
        </w:numPr>
        <w:pStyle w:val="Compact"/>
      </w:pPr>
      <w:r>
        <w:t xml:space="preserve">End-of-Life Treatment of Sold Products</w:t>
      </w:r>
    </w:p>
    <w:p>
      <w:pPr>
        <w:pStyle w:val="FirstParagraph"/>
      </w:pPr>
      <w:r>
        <w:t xml:space="preserve">By addressing these significant categories, the report aims to provide a robust and comprehensive Scope 3 footprint for esxgwxtnwn.</w:t>
      </w:r>
    </w:p>
    <w:p>
      <w:r>
        <w:pict>
          <v:rect style="width:0;height:1.5pt" o:hralign="center" o:hrstd="t" o:hr="t"/>
        </w:pict>
      </w:r>
    </w:p>
    <w:bookmarkEnd w:id="45"/>
    <w:bookmarkEnd w:id="46"/>
    <w:bookmarkStart w:id="51" w:name="review-report---hotspots-and-reliability"/>
    <w:p>
      <w:pPr>
        <w:pStyle w:val="Heading1"/>
      </w:pPr>
      <w:r>
        <w:t xml:space="preserve">5. Review &amp; Report - Hotspots and Reliability</w:t>
      </w:r>
    </w:p>
    <w:bookmarkStart w:id="47" w:name="overall-product-carbon-footprint-summary"/>
    <w:p>
      <w:pPr>
        <w:pStyle w:val="Heading2"/>
      </w:pPr>
      <w:r>
        <w:t xml:space="preserve">5.1 Overall Product Carbon Footprint Summary</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c>
          <w:tcPr/>
          <w:p>
            <w:pPr>
              <w:pStyle w:val="Compact"/>
              <w:jc w:val="left"/>
            </w:pPr>
            <w:r>
              <w:t xml:space="preserve">Percentage of Total</w:t>
            </w:r>
          </w:p>
        </w:tc>
      </w:tr>
      <w:tr>
        <w:tc>
          <w:tcPr/>
          <w:p>
            <w:pPr>
              <w:pStyle w:val="Compact"/>
              <w:jc w:val="left"/>
            </w:pPr>
            <w:r>
              <w:t xml:space="preserve">Raw Material Acquisition</w:t>
            </w:r>
          </w:p>
        </w:tc>
        <w:tc>
          <w:tcPr/>
          <w:p>
            <w:pPr>
              <w:pStyle w:val="Compact"/>
              <w:jc w:val="left"/>
            </w:pPr>
            <w:r>
              <w:t xml:space="preserve">Scope 3 (Upstream)</w:t>
            </w:r>
          </w:p>
        </w:tc>
        <w:tc>
          <w:tcPr/>
          <w:p>
            <w:pPr>
              <w:pStyle w:val="Compact"/>
              <w:jc w:val="left"/>
            </w:pPr>
            <w:r>
              <w:t xml:space="preserve">3.425</w:t>
            </w:r>
          </w:p>
        </w:tc>
        <w:tc>
          <w:tcPr/>
          <w:p>
            <w:pPr>
              <w:pStyle w:val="Compact"/>
              <w:jc w:val="left"/>
            </w:pPr>
            <w:r>
              <w:t xml:space="preserve">9.41%</w:t>
            </w:r>
          </w:p>
        </w:tc>
      </w:tr>
      <w:tr>
        <w:tc>
          <w:tcPr/>
          <w:p>
            <w:pPr>
              <w:pStyle w:val="Compact"/>
              <w:jc w:val="left"/>
            </w:pPr>
            <w:r>
              <w:t xml:space="preserve">Upstream Transport</w:t>
            </w:r>
          </w:p>
        </w:tc>
        <w:tc>
          <w:tcPr/>
          <w:p>
            <w:pPr>
              <w:pStyle w:val="Compact"/>
              <w:jc w:val="left"/>
            </w:pPr>
            <w:r>
              <w:t xml:space="preserve">Scope 3 (Upstream)</w:t>
            </w:r>
          </w:p>
        </w:tc>
        <w:tc>
          <w:tcPr/>
          <w:p>
            <w:pPr>
              <w:pStyle w:val="Compact"/>
              <w:jc w:val="left"/>
            </w:pPr>
            <w:r>
              <w:t xml:space="preserve">0.036</w:t>
            </w:r>
          </w:p>
        </w:tc>
        <w:tc>
          <w:tcPr/>
          <w:p>
            <w:pPr>
              <w:pStyle w:val="Compact"/>
              <w:jc w:val="left"/>
            </w:pPr>
            <w:r>
              <w:t xml:space="preserve">0.10%</w:t>
            </w:r>
          </w:p>
        </w:tc>
      </w:tr>
      <w:tr>
        <w:tc>
          <w:tcPr/>
          <w:p>
            <w:pPr>
              <w:pStyle w:val="Compact"/>
              <w:jc w:val="left"/>
            </w:pPr>
            <w:r>
              <w:t xml:space="preserve">Manufacturing Energy</w:t>
            </w:r>
          </w:p>
        </w:tc>
        <w:tc>
          <w:tcPr/>
          <w:p>
            <w:pPr>
              <w:pStyle w:val="Compact"/>
              <w:jc w:val="left"/>
            </w:pPr>
            <w:r>
              <w:t xml:space="preserve">Scope 2</w:t>
            </w:r>
          </w:p>
        </w:tc>
        <w:tc>
          <w:tcPr/>
          <w:p>
            <w:pPr>
              <w:pStyle w:val="Compact"/>
              <w:jc w:val="left"/>
            </w:pPr>
            <w:r>
              <w:t xml:space="preserve">1.710</w:t>
            </w:r>
          </w:p>
        </w:tc>
        <w:tc>
          <w:tcPr/>
          <w:p>
            <w:pPr>
              <w:pStyle w:val="Compact"/>
              <w:jc w:val="left"/>
            </w:pPr>
            <w:r>
              <w:t xml:space="preserve">4.70%</w:t>
            </w:r>
          </w:p>
        </w:tc>
      </w:tr>
      <w:tr>
        <w:tc>
          <w:tcPr/>
          <w:p>
            <w:pPr>
              <w:pStyle w:val="Compact"/>
              <w:jc w:val="left"/>
            </w:pPr>
            <w:r>
              <w:t xml:space="preserve">Downstream Transport</w:t>
            </w:r>
          </w:p>
        </w:tc>
        <w:tc>
          <w:tcPr/>
          <w:p>
            <w:pPr>
              <w:pStyle w:val="Compact"/>
              <w:jc w:val="left"/>
            </w:pPr>
            <w:r>
              <w:t xml:space="preserve">Scope 3 (Downstream)</w:t>
            </w:r>
          </w:p>
        </w:tc>
        <w:tc>
          <w:tcPr/>
          <w:p>
            <w:pPr>
              <w:pStyle w:val="Compact"/>
              <w:jc w:val="left"/>
            </w:pPr>
            <w:r>
              <w:t xml:space="preserve">0.258</w:t>
            </w:r>
          </w:p>
        </w:tc>
        <w:tc>
          <w:tcPr/>
          <w:p>
            <w:pPr>
              <w:pStyle w:val="Compact"/>
              <w:jc w:val="left"/>
            </w:pPr>
            <w:r>
              <w:t xml:space="preserve">0.71%</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30.000</w:t>
            </w:r>
          </w:p>
        </w:tc>
        <w:tc>
          <w:tcPr/>
          <w:p>
            <w:pPr>
              <w:pStyle w:val="Compact"/>
              <w:jc w:val="left"/>
            </w:pPr>
            <w:r>
              <w:t xml:space="preserve">82.47%</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0.144</w:t>
            </w:r>
          </w:p>
        </w:tc>
        <w:tc>
          <w:tcPr/>
          <w:p>
            <w:pPr>
              <w:pStyle w:val="Compact"/>
              <w:jc w:val="left"/>
            </w:pPr>
            <w:r>
              <w:t xml:space="preserve">0.40%</w:t>
            </w:r>
          </w:p>
        </w:tc>
      </w:tr>
      <w:tr>
        <w:tc>
          <w:tcPr>
            <w:gridSpan w:val="2"/>
          </w:tcPr>
          <w:p>
            <w:pPr>
              <w:pStyle w:val="Compact"/>
              <w:jc w:val="left"/>
            </w:pPr>
            <w:r>
              <w:t xml:space="preserve">Total Product Carbon Footprint (PCF)</w:t>
            </w:r>
          </w:p>
        </w:tc>
        <w:tc>
          <w:tcPr/>
          <w:p>
            <w:pPr>
              <w:pStyle w:val="Compact"/>
              <w:jc w:val="left"/>
            </w:pPr>
            <w:r>
              <w:t xml:space="preserve">35.573</w:t>
            </w:r>
          </w:p>
        </w:tc>
        <w:tc>
          <w:tcPr/>
          <w:p>
            <w:pPr>
              <w:pStyle w:val="Compact"/>
              <w:jc w:val="left"/>
            </w:pPr>
            <w:r>
              <w:t xml:space="preserve">100.00%</w:t>
            </w:r>
          </w:p>
        </w:tc>
      </w:tr>
    </w:tbl>
    <w:p>
      <w:pPr>
        <w:pStyle w:val="BodyText"/>
      </w:pPr>
      <w:r>
        <w:t xml:space="preserve">Note: Summing up the individual components gives 3.425 + 0.036 + 1.710 + 0.258 + 30.000 + 0.144 = 35.573 kgCO2e. There was a slight discrepancy in my scratchpad sum from the rounded numbers, correcting to 35.573 kgCO2e.</w:t>
      </w:r>
    </w:p>
    <w:p>
      <w:pPr>
        <w:pStyle w:val="BodyText"/>
      </w:pPr>
      <w:r>
        <w:rPr>
          <w:bCs/>
          <w:b/>
        </w:rPr>
        <w:t xml:space="preserve">Corrected Total Estimated Product Carbon Footprint for esxgwxtnwn: 35.57 kgCO2e per unit.</w:t>
      </w:r>
    </w:p>
    <w:bookmarkEnd w:id="47"/>
    <w:bookmarkStart w:id="48" w:name="identified-hotspots"/>
    <w:p>
      <w:pPr>
        <w:pStyle w:val="Heading2"/>
      </w:pPr>
      <w:r>
        <w:t xml:space="preserve">5.2 Identified Hotspots</w:t>
      </w:r>
    </w:p>
    <w:p>
      <w:pPr>
        <w:pStyle w:val="FirstParagraph"/>
      </w:pPr>
      <w:r>
        <w:t xml:space="preserve">The primary emission hotspot for esxgwxtnwn is clearly the **Use Phase**, accounting for approximately 82.47% of the total PCF. This is driven by the specified energy consumption of the product over its 5-year lifespan.</w:t>
      </w:r>
    </w:p>
    <w:p>
      <w:pPr>
        <w:pStyle w:val="BodyText"/>
      </w:pPr>
      <w:r>
        <w:t xml:space="preserve">Other significant contributors include:</w:t>
      </w:r>
    </w:p>
    <w:p>
      <w:pPr>
        <w:numPr>
          <w:ilvl w:val="0"/>
          <w:numId w:val="1021"/>
        </w:numPr>
        <w:pStyle w:val="Compact"/>
      </w:pPr>
      <w:r>
        <w:t xml:space="preserve">**Raw Material Acquisition:** 9.41% of the total footprint, highlighting the importance of sustainable sourcing and material selection.</w:t>
      </w:r>
    </w:p>
    <w:p>
      <w:pPr>
        <w:numPr>
          <w:ilvl w:val="0"/>
          <w:numId w:val="1021"/>
        </w:numPr>
        <w:pStyle w:val="Compact"/>
      </w:pPr>
      <w:r>
        <w:t xml:space="preserve">**Manufacturing Energy (Scope 2):** 4.70%, indicating the impact of the energy mix used in the production facility.</w:t>
      </w:r>
    </w:p>
    <w:bookmarkEnd w:id="48"/>
    <w:bookmarkStart w:id="49" w:name="data-reliability-and-limitations"/>
    <w:p>
      <w:pPr>
        <w:pStyle w:val="Heading2"/>
      </w:pPr>
      <w:r>
        <w:t xml:space="preserve">5.3 Data Reliability and Limitations</w:t>
      </w:r>
    </w:p>
    <w:p>
      <w:pPr>
        <w:pStyle w:val="FirstParagraph"/>
      </w:pPr>
      <w:r>
        <w:t xml:space="preserve">The reliability of this PCF analysis is contingent on the accuracy of the provided input parameters and the emission factors utilized.</w:t>
      </w:r>
    </w:p>
    <w:p>
      <w:pPr>
        <w:numPr>
          <w:ilvl w:val="0"/>
          <w:numId w:val="1022"/>
        </w:numPr>
        <w:pStyle w:val="Compact"/>
      </w:pPr>
      <w:r>
        <w:rPr>
          <w:bCs/>
          <w:b/>
        </w:rPr>
        <w:t xml:space="preserve">Primary Data:</w:t>
      </w:r>
      <w:r>
        <w:t xml:space="preserve"> </w:t>
      </w:r>
      <w:r>
        <w:t xml:space="preserve">The Detailed Bill of Materials (jmptwtnv), energy intensity (tnuelnegxe), renewable energy usage (rvvlsngwnv), product lifespan (phdsmrpeqg), energy consumption in use (lsudxrovmh), and recyclability percentage (exidxnqdxo) are assumed to be accurate primary data provided by pizumkrwsv.</w:t>
      </w:r>
    </w:p>
    <w:p>
      <w:pPr>
        <w:numPr>
          <w:ilvl w:val="0"/>
          <w:numId w:val="1022"/>
        </w:numPr>
        <w:pStyle w:val="Compact"/>
      </w:pPr>
      <w:r>
        <w:rPr>
          <w:bCs/>
          <w:b/>
        </w:rPr>
        <w:t xml:space="preserve">Secondary Data:</w:t>
      </w:r>
      <w:r>
        <w:t xml:space="preserve"> </w:t>
      </w:r>
      <w:r>
        <w:t xml:space="preserve">Generic industry-average emission factors (e.g., for grid electricity, transport, and waste) from databases like Ecoinvent and DEFRA have been used where specific supplier-specific data was not available. These factors introduce a degree of uncertainty due to regional and technological variations. For example, China\'s grid electricity factor can vary significantly by province.</w:t>
      </w:r>
    </w:p>
    <w:p>
      <w:pPr>
        <w:numPr>
          <w:ilvl w:val="0"/>
          <w:numId w:val="1022"/>
        </w:numPr>
        <w:pStyle w:val="Compact"/>
      </w:pPr>
      <w:r>
        <w:rPr>
          <w:bCs/>
          <w:b/>
        </w:rPr>
        <w:t xml:space="preserve">Assumptions:</w:t>
      </w:r>
      <w:r>
        <w:t xml:space="preserve"> </w:t>
      </w:r>
      <w:r>
        <w:t xml:space="preserve">Assumptions regarding transport distances, modes (e.g., ocean freight for upstream), and end-of-life disposal routes (for the non-recycled portion) were made based on the geographic scope and common practices, as specific data was not provided for placeholders like "Select Mode" and "Delivery Type."</w:t>
      </w:r>
    </w:p>
    <w:p>
      <w:pPr>
        <w:numPr>
          <w:ilvl w:val="0"/>
          <w:numId w:val="1022"/>
        </w:numPr>
        <w:pStyle w:val="Compact"/>
      </w:pPr>
      <w:r>
        <w:rPr>
          <w:bCs/>
          <w:b/>
        </w:rPr>
        <w:t xml:space="preserve">LSR Standard:</w:t>
      </w:r>
      <w:r>
        <w:t xml:space="preserve"> </w:t>
      </w:r>
      <w:r>
        <w:t xml:space="preserve">Without specific land-use data associated with raw material extraction or explicit carbon removal projects for esxgwxtnwn, a quantitative assessment under the 2026 LSR Standard was not feasible, though its relevance is acknowledged.</w:t>
      </w:r>
    </w:p>
    <w:bookmarkEnd w:id="49"/>
    <w:bookmarkStart w:id="50" w:name="recommendations-for-improvement"/>
    <w:p>
      <w:pPr>
        <w:pStyle w:val="Heading2"/>
      </w:pPr>
      <w:r>
        <w:t xml:space="preserve">5.4 Recommendations for Improvement</w:t>
      </w:r>
    </w:p>
    <w:p>
      <w:pPr>
        <w:numPr>
          <w:ilvl w:val="0"/>
          <w:numId w:val="1023"/>
        </w:numPr>
        <w:pStyle w:val="Compact"/>
      </w:pPr>
      <w:r>
        <w:rPr>
          <w:bCs/>
          <w:b/>
        </w:rPr>
        <w:t xml:space="preserve">Use Phase Optimization:</w:t>
      </w:r>
      <w:r>
        <w:t xml:space="preserve"> </w:t>
      </w:r>
      <w:r>
        <w:t xml:space="preserve">Investigate opportunities to reduce energy consumption during the product\'s use phase, potentially through energy-efficient design, alternative power sources for users, or extended product lifespan with repairability.</w:t>
      </w:r>
    </w:p>
    <w:p>
      <w:pPr>
        <w:numPr>
          <w:ilvl w:val="0"/>
          <w:numId w:val="1023"/>
        </w:numPr>
        <w:pStyle w:val="Compact"/>
      </w:pPr>
      <w:r>
        <w:rPr>
          <w:bCs/>
          <w:b/>
        </w:rPr>
        <w:t xml:space="preserve">Material Optimization:</w:t>
      </w:r>
      <w:r>
        <w:t xml:space="preserve"> </w:t>
      </w:r>
      <w:r>
        <w:t xml:space="preserve">Explore alternative, lower-carbon materials for raw material acquisition, especially for high-impact components, and engage with suppliers to obtain primary emission data.</w:t>
      </w:r>
    </w:p>
    <w:p>
      <w:pPr>
        <w:numPr>
          <w:ilvl w:val="0"/>
          <w:numId w:val="1023"/>
        </w:numPr>
        <w:pStyle w:val="Compact"/>
      </w:pPr>
      <w:r>
        <w:rPr>
          <w:bCs/>
          <w:b/>
        </w:rPr>
        <w:t xml:space="preserve">Renewable Energy Expansion:</w:t>
      </w:r>
      <w:r>
        <w:t xml:space="preserve"> </w:t>
      </w:r>
      <w:r>
        <w:t xml:space="preserve">Increase renewable energy sourcing in manufacturing operations in China to further reduce Scope 2 emissions.</w:t>
      </w:r>
    </w:p>
    <w:p>
      <w:pPr>
        <w:numPr>
          <w:ilvl w:val="0"/>
          <w:numId w:val="1023"/>
        </w:numPr>
        <w:pStyle w:val="Compact"/>
      </w:pPr>
      <w:r>
        <w:rPr>
          <w:bCs/>
          <w:b/>
        </w:rPr>
        <w:t xml:space="preserve">Logistics Optimization:</w:t>
      </w:r>
      <w:r>
        <w:t xml:space="preserve"> </w:t>
      </w:r>
      <w:r>
        <w:t xml:space="preserve">Optimize transport routes, modes, and load factors to minimize emissions from both upstream and downstream logistics.</w:t>
      </w:r>
    </w:p>
    <w:p>
      <w:pPr>
        <w:numPr>
          <w:ilvl w:val="0"/>
          <w:numId w:val="1023"/>
        </w:numPr>
        <w:pStyle w:val="Compact"/>
      </w:pPr>
      <w:r>
        <w:rPr>
          <w:bCs/>
          <w:b/>
        </w:rPr>
        <w:t xml:space="preserve">Enhance Circularity:</w:t>
      </w:r>
      <w:r>
        <w:t xml:space="preserve"> </w:t>
      </w:r>
      <w:r>
        <w:t xml:space="preserve">Leverage the "Established take-back program for key components" (ukgzrifeuz) to maximize reuse and high-quality recycling, minimizing waste sent to landfill.</w:t>
      </w:r>
    </w:p>
    <w:p>
      <w:pPr>
        <w:numPr>
          <w:ilvl w:val="0"/>
          <w:numId w:val="1023"/>
        </w:numPr>
        <w:pStyle w:val="Compact"/>
      </w:pPr>
      <w:r>
        <w:rPr>
          <w:bCs/>
          <w:b/>
        </w:rPr>
        <w:t xml:space="preserve">Data Collection:</w:t>
      </w:r>
      <w:r>
        <w:t xml:space="preserve"> </w:t>
      </w:r>
      <w:r>
        <w:t xml:space="preserve">Implement robust systems for collecting primary data across the value chain to reduce reliance on generic emission factors and improve the accuracy of future PCF analyses.</w:t>
      </w:r>
    </w:p>
    <w:p>
      <w:r>
        <w:pict>
          <v:rect style="width:0;height:1.5pt" o:hralign="center" o:hrstd="t" o:hr="t"/>
        </w:pic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(PCF) Analysis Report for esxgwxtnwn</dc:title>
  <dc:creator/>
  <dc:description>Detailed Product Carbon Footprint (PCF) analysis report for esxgwxtnwn, performed by Senior Sustainability Consultant gumrxznjte for pizumkrwsv, adhering to GHG Protocol and 2026 LSR Update.</dc:description>
  <dc:language>en</dc:language>
  <cp:keywords/>
  <dcterms:created xsi:type="dcterms:W3CDTF">2026-05-30T18:35:16Z</dcterms:created>
  <dcterms:modified xsi:type="dcterms:W3CDTF">2026-05-30T18:35:16Z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