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eqyhkwozmn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eqyhkwozmn</w:t>
      </w:r>
    </w:p>
    <w:p>
      <w:pPr>
        <w:pStyle w:val="BodyText"/>
      </w:pPr>
      <w:r>
        <w:t xml:space="preserve">Protocol Data (Accounting Standard): GHG Protocol</w:t>
      </w:r>
    </w:p>
    <w:p>
      <w:pPr>
        <w:pStyle w:val="BodyText"/>
      </w:pPr>
      <w:r>
        <w:t xml:space="preserve">Company Name: soyvukyiuv</w:t>
      </w:r>
    </w:p>
    <w:p>
      <w:pPr>
        <w:pStyle w:val="BodyText"/>
      </w:pPr>
      <w:r>
        <w:t xml:space="preserve">Senior Sustainability Consultant: vmphnzlopo</w:t>
      </w:r>
    </w:p>
    <w:p>
      <w:pPr>
        <w:pStyle w:val="BodyText"/>
      </w:pPr>
      <w:r>
        <w:t xml:space="preserve">Disclaimer: This report is generated based on available data and industry standards, utilizing illustrative emission factors where specific primary data was not provided for placeholder parameters.</w:t>
      </w:r>
    </w:p>
    <w:bookmarkEnd w:id="20"/>
    <w:p>
      <w:pPr>
        <w:pStyle w:val="BodyText"/>
      </w:pPr>
      <w:r>
        <w:t xml:space="preserve">Product Carbon Footprint (PCF) Analysis Report for eqyhkwozmn</w:t>
      </w:r>
    </w:p>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eqyhkwozmn</w:t>
      </w:r>
      <w:r>
        <w:t xml:space="preserve">, manufactured by</w:t>
      </w:r>
      <w:r>
        <w:t xml:space="preserve"> </w:t>
      </w:r>
      <w:r>
        <w:rPr>
          <w:bCs/>
          <w:b/>
        </w:rPr>
        <w:t xml:space="preserve">soyvukyiuv</w:t>
      </w:r>
      <w:r>
        <w:t xml:space="preserve">. The analysis was conducted by</w:t>
      </w:r>
      <w:r>
        <w:t xml:space="preserve"> </w:t>
      </w:r>
      <w:r>
        <w:rPr>
          <w:bCs/>
          <w:b/>
        </w:rPr>
        <w:t xml:space="preserve">vmphnzlopo</w:t>
      </w:r>
      <w:r>
        <w:t xml:space="preserve">, Senior Sustainability Consultant, adhering strictly to the Greenhouse Gas (GHG) Protocol standards, including considerations for the 2026 Land Sector and Removals (LSR) Standard update and ensuring comprehensive Scope 3 coverage. The primary goal is to quantify the greenhouse gas emissions associated with the product\'s entire lifecycle, from material acquisition to end-of-life, expressed as CO2 equivalents (CO2e) per functional unit (1.0 unit).</w:t>
      </w:r>
    </w:p>
    <w:p>
      <w:pPr>
        <w:pStyle w:val="BodyText"/>
      </w:pPr>
      <w:r>
        <w:t xml:space="preserve">The total Product Carbon Footprint for one functional unit of eqyhkwozmn is calculated to be</w:t>
      </w:r>
      <w:r>
        <w:t xml:space="preserve"> </w:t>
      </w:r>
      <w:r>
        <w:rPr>
          <w:bCs/>
          <w:b/>
        </w:rPr>
        <w:t xml:space="preserve">25.30 kg CO2e</w:t>
      </w:r>
      <w:r>
        <w:t xml:space="preserve">. The use phase is identified as the most significant contributor to the overall footprint, highlighting key areas for future emissions reduction strategies.</w:t>
      </w:r>
    </w:p>
    <w:p>
      <w:r>
        <w:pict>
          <v:rect style="width:0;height:1.5pt" o:hralign="center" o:hrstd="t" o:hr="t"/>
        </w:pict>
      </w:r>
    </w:p>
    <w:bookmarkEnd w:id="21"/>
    <w:bookmarkStart w:id="27" w:name="methodology-and-scope-definition"/>
    <w:p>
      <w:pPr>
        <w:pStyle w:val="Heading1"/>
      </w:pPr>
      <w:r>
        <w:t xml:space="preserve">1. Methodology and Scope Definition</w:t>
      </w:r>
    </w:p>
    <w:p>
      <w:pPr>
        <w:pStyle w:val="FirstParagraph"/>
      </w:pPr>
      <w:r>
        <w:t xml:space="preserve">The Product Carbon Footprint (PCF) analysis follows the five-step methodology prescribed by the GHG Protocol, ensuring a consistent and transparent assessment of emissions across the product lifecycle. The accounting standard applied is the</w:t>
      </w:r>
      <w:r>
        <w:t xml:space="preserve"> </w:t>
      </w:r>
      <w:r>
        <w:rPr>
          <w:bCs/>
          <w:b/>
        </w:rPr>
        <w:t xml:space="preserve">GHG Protocol</w:t>
      </w:r>
      <w:r>
        <w:t xml:space="preserve">.</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eqyhkwozmn.</w:t>
      </w:r>
    </w:p>
    <w:p>
      <w:pPr>
        <w:numPr>
          <w:ilvl w:val="0"/>
          <w:numId w:val="1001"/>
        </w:numPr>
        <w:pStyle w:val="Compact"/>
      </w:pPr>
      <w:r>
        <w:rPr>
          <w:bCs/>
          <w:b/>
        </w:rPr>
        <w:t xml:space="preserve">System Boundary:</w:t>
      </w:r>
      <w:r>
        <w:t xml:space="preserve"> </w:t>
      </w:r>
      <w:r>
        <w:t xml:space="preserve">Cradle-to-grave, with a focus on the</w:t>
      </w:r>
      <w:r>
        <w:t xml:space="preserve"> </w:t>
      </w:r>
      <w:r>
        <w:rPr>
          <w:iCs/>
          <w:i/>
        </w:rPr>
        <w:t xml:space="preserve">factory_gate</w:t>
      </w:r>
      <w:r>
        <w:t xml:space="preserve"> </w:t>
      </w:r>
      <w:r>
        <w:t xml:space="preserve">for production emissions. All relevant upstream (material acquisition, transport) and downstream (use phase, end-of-life) impacts are included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influences the choice of regional electricity grid emission factors.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allocation is based on mass.</w:t>
      </w:r>
    </w:p>
    <w:bookmarkEnd w:id="22"/>
    <w:bookmarkStart w:id="23" w:name="map-lifecycle-lci-inventory-stages"/>
    <w:p>
      <w:pPr>
        <w:pStyle w:val="Heading2"/>
      </w:pPr>
      <w:r>
        <w:t xml:space="preserve">1.2. Map Lifecycle (LCI Inventory Stages)</w:t>
      </w:r>
    </w:p>
    <w:p>
      <w:pPr>
        <w:pStyle w:val="FirstParagraph"/>
      </w:pPr>
      <w:r>
        <w:t xml:space="preserve">The product lifecycle of eqyhkwozmn is mapped into the following stages, encompassing both upstream and downstream activities:</w:t>
      </w:r>
    </w:p>
    <w:p>
      <w:pPr>
        <w:numPr>
          <w:ilvl w:val="0"/>
          <w:numId w:val="1002"/>
        </w:numPr>
        <w:pStyle w:val="Compact"/>
      </w:pPr>
      <w:r>
        <w:rPr>
          <w:bCs/>
          <w:b/>
        </w:rPr>
        <w:t xml:space="preserve">Material Acquisition &amp; Pre-processing:</w:t>
      </w:r>
      <w:r>
        <w:t xml:space="preserve"> </w:t>
      </w:r>
      <w:r>
        <w:t xml:space="preserve">Extraction, production, and pre-treatment of raw materials.</w:t>
      </w:r>
    </w:p>
    <w:p>
      <w:pPr>
        <w:numPr>
          <w:ilvl w:val="0"/>
          <w:numId w:val="1002"/>
        </w:numPr>
        <w:pStyle w:val="Compact"/>
      </w:pPr>
      <w:r>
        <w:rPr>
          <w:bCs/>
          <w:b/>
        </w:rPr>
        <w:t xml:space="preserve">Manufacturing:</w:t>
      </w:r>
      <w:r>
        <w:t xml:space="preserve"> </w:t>
      </w:r>
      <w:r>
        <w:t xml:space="preserve">Production processes at the soyvukyiuv facility in China, including energy consumption.</w:t>
      </w:r>
    </w:p>
    <w:p>
      <w:pPr>
        <w:numPr>
          <w:ilvl w:val="0"/>
          <w:numId w:val="1002"/>
        </w:numPr>
        <w:pStyle w:val="Compact"/>
      </w:pPr>
      <w:r>
        <w:rPr>
          <w:bCs/>
          <w:b/>
        </w:rPr>
        <w:t xml:space="preserve">Transportation &amp; Distribution:</w:t>
      </w:r>
      <w:r>
        <w:t xml:space="preserve"> </w:t>
      </w:r>
      <w:r>
        <w:t xml:space="preserve">Logistics from material suppliers to the factory, and from the factory to the end-user (Europe Focused).</w:t>
      </w:r>
    </w:p>
    <w:p>
      <w:pPr>
        <w:numPr>
          <w:ilvl w:val="0"/>
          <w:numId w:val="1002"/>
        </w:numPr>
        <w:pStyle w:val="Compact"/>
      </w:pPr>
      <w:r>
        <w:rPr>
          <w:bCs/>
          <w:b/>
        </w:rPr>
        <w:t xml:space="preserve">Use Phase:</w:t>
      </w:r>
      <w:r>
        <w:t xml:space="preserve"> </w:t>
      </w:r>
      <w:r>
        <w:t xml:space="preserve">Energy consumption and other impacts during the product\'s lifespan by the end-user.</w:t>
      </w:r>
    </w:p>
    <w:p>
      <w:pPr>
        <w:numPr>
          <w:ilvl w:val="0"/>
          <w:numId w:val="1002"/>
        </w:numPr>
        <w:pStyle w:val="Compact"/>
      </w:pPr>
      <w:r>
        <w:rPr>
          <w:bCs/>
          <w:b/>
        </w:rPr>
        <w:t xml:space="preserve">End-of-Life:</w:t>
      </w:r>
      <w:r>
        <w:t xml:space="preserve"> </w:t>
      </w:r>
      <w:r>
        <w:t xml:space="preserve">Disposal, recycling, and recovery processes at the end of the product\'s functional life.</w:t>
      </w:r>
    </w:p>
    <w:bookmarkEnd w:id="23"/>
    <w:bookmarkStart w:id="24" w:name="collect-data"/>
    <w:p>
      <w:pPr>
        <w:pStyle w:val="Heading2"/>
      </w:pPr>
      <w:r>
        <w:t xml:space="preserve">1.3. Collect Data</w:t>
      </w:r>
    </w:p>
    <w:p>
      <w:pPr>
        <w:pStyle w:val="FirstParagraph"/>
      </w:pPr>
      <w:r>
        <w:t xml:space="preserve">Primary data for this analysis includes the Detailed Bill of Materials (BOM) and specific operational parameters provided by soyvukyiuv. Secondary data, primarily industry-average emission factors, were sourced from reputable databases such as Ecoinvent and DEFRA equivalents, specifically adapted to the geographic scope where applicable. Illustrative values were used for placeholder parameters as specified in the report requirements.</w:t>
      </w:r>
    </w:p>
    <w:bookmarkEnd w:id="24"/>
    <w:bookmarkStart w:id="25" w:name="calculate-emissions"/>
    <w:p>
      <w:pPr>
        <w:pStyle w:val="Heading2"/>
      </w:pPr>
      <w:r>
        <w:t xml:space="preserve">1.4. Calculate Emissions</w:t>
      </w:r>
    </w:p>
    <w:p>
      <w:pPr>
        <w:pStyle w:val="FirstParagraph"/>
      </w:pPr>
      <w:r>
        <w:t xml:space="preserve">Emissions for each life cycle stage are calculated using the formula: Activity Data × Emission Factor = CO2e. The results are then categorized according to the GHG Protocol\'s Scope 1, Scope 2, and Scope 3 definitions.</w:t>
      </w:r>
    </w:p>
    <w:p>
      <w:pPr>
        <w:numPr>
          <w:ilvl w:val="0"/>
          <w:numId w:val="1003"/>
        </w:numPr>
        <w:pStyle w:val="Compact"/>
      </w:pPr>
      <w:r>
        <w:rPr>
          <w:bCs/>
          <w:b/>
        </w:rPr>
        <w:t xml:space="preserve">Scope 1:</w:t>
      </w:r>
      <w:r>
        <w:t xml:space="preserve"> </w:t>
      </w:r>
      <w:r>
        <w:t xml:space="preserve">Direct GHG emissions from sources owned or controlled by soyvukyiuv (e.g., company-owned vehicles, on-site combustion).</w:t>
      </w:r>
    </w:p>
    <w:p>
      <w:pPr>
        <w:numPr>
          <w:ilvl w:val="0"/>
          <w:numId w:val="1003"/>
        </w:numPr>
        <w:pStyle w:val="Compact"/>
      </w:pPr>
      <w:r>
        <w:rPr>
          <w:bCs/>
          <w:b/>
        </w:rPr>
        <w:t xml:space="preserve">Scope 2:</w:t>
      </w:r>
      <w:r>
        <w:t xml:space="preserve"> </w:t>
      </w:r>
      <w:r>
        <w:t xml:space="preserve">Indirect GHG emissions from the generation of purchased electricity, heat, or steam consumed by soyvukyiuv.</w:t>
      </w:r>
    </w:p>
    <w:p>
      <w:pPr>
        <w:numPr>
          <w:ilvl w:val="0"/>
          <w:numId w:val="1003"/>
        </w:numPr>
        <w:pStyle w:val="Compact"/>
      </w:pPr>
      <w:r>
        <w:rPr>
          <w:bCs/>
          <w:b/>
        </w:rPr>
        <w:t xml:space="preserve">Scope 3:</w:t>
      </w:r>
      <w:r>
        <w:t xml:space="preserve"> </w:t>
      </w:r>
      <w:r>
        <w:t xml:space="preserve">All other indirect GHG emissions occurring in the value chain, both upstream and downstream. These are further categorized according to the GHG Protocol\'s 15 categories.</w:t>
      </w:r>
    </w:p>
    <w:bookmarkEnd w:id="25"/>
    <w:bookmarkStart w:id="26" w:name="review-report"/>
    <w:p>
      <w:pPr>
        <w:pStyle w:val="Heading2"/>
      </w:pPr>
      <w:r>
        <w:t xml:space="preserve">1.5. Review &amp; Report</w:t>
      </w:r>
    </w:p>
    <w:p>
      <w:pPr>
        <w:pStyle w:val="FirstParagraph"/>
      </w:pPr>
      <w:r>
        <w:t xml:space="preserve">The analysis identifies emissions hotspots and provides insights into the reliability of the data used. Recommendations for emissions reduction are also presented.</w:t>
      </w:r>
    </w:p>
    <w:p>
      <w:r>
        <w:pict>
          <v:rect style="width:0;height:1.5pt" o:hralign="center" o:hrstd="t" o:hr="t"/>
        </w:pict>
      </w:r>
    </w:p>
    <w:bookmarkEnd w:id="26"/>
    <w:bookmarkEnd w:id="27"/>
    <w:bookmarkStart w:id="30" w:name="ghg-protocol-adherence-and-2026-updates"/>
    <w:p>
      <w:pPr>
        <w:pStyle w:val="Heading1"/>
      </w:pPr>
      <w:r>
        <w:t xml:space="preserve">2. GHG Protocol Adherence and 2026 Updates</w:t>
      </w:r>
    </w:p>
    <w:p>
      <w:pPr>
        <w:pStyle w:val="FirstParagraph"/>
      </w:pPr>
      <w:r>
        <w:t xml:space="preserve">This PCF analysis is fully compliant with the Greenhouse Gas (GHG) Protocol Corporate Accounting and Reporting Standard and the Corporate Value Chain (Scope 3) Accounting and Reporting Standard.</w:t>
      </w:r>
    </w:p>
    <w:bookmarkStart w:id="28" w:name="X504f4a86e01fdcfa46a4589bb1b5e0cfaad8629"/>
    <w:p>
      <w:pPr>
        <w:pStyle w:val="Heading2"/>
      </w:pPr>
      <w:r>
        <w:t xml:space="preserve">2.1. 2026 Land Sector and Removals (LSR) Standard Update</w:t>
      </w:r>
    </w:p>
    <w:p>
      <w:pPr>
        <w:pStyle w:val="FirstParagraph"/>
      </w:pPr>
      <w:r>
        <w:t xml:space="preserve">The analysis acknowledges and applies the principles of the GHG Protocol\'s Land Sector and Removals (LSR) Standard, released on January 30, 2026, which provides accounting requirements and guidance for quantifying, reporting, and tracking land emissions and CO2 removals. While the product eqyhkwozmn does not directly involve significant land-use change or biogenic carbon removals in its primary manufacturing or material composition based on the provided BOM, the LSR principles inform the holistic approach to carbon accounting, particularly concerning any potential indirect land-use impacts within the broader supply chain, though specific calculations for such were not directly applicable to the provided parameters.</w:t>
      </w:r>
    </w:p>
    <w:bookmarkEnd w:id="28"/>
    <w:bookmarkStart w:id="29" w:name="scope-3-compliance-2026-requirements"/>
    <w:p>
      <w:pPr>
        <w:pStyle w:val="Heading2"/>
      </w:pPr>
      <w:r>
        <w:t xml:space="preserve">2.2. Scope 3 Compliance (2026 Requirements)</w:t>
      </w:r>
    </w:p>
    <w:p>
      <w:pPr>
        <w:pStyle w:val="FirstParagraph"/>
      </w:pPr>
      <w:r>
        <w:t xml:space="preserve">In accordance with the 2026 requirements, this report ensures at least 95% coverage for Scope 3 emissions. This commitment ensures that all major indirect emission sources across the value chain are quantified, enhancing the completeness, consistency, transparency, and comparability of the inventory. Any minor exclusions are considered immaterial to the overall emissions profile and fall within the permissible 5% threshold for required Scope 3 emissions.</w:t>
      </w:r>
    </w:p>
    <w:p>
      <w:r>
        <w:pict>
          <v:rect style="width:0;height:1.5pt" o:hralign="center" o:hrstd="t" o:hr="t"/>
        </w:pict>
      </w:r>
    </w:p>
    <w:bookmarkEnd w:id="29"/>
    <w:bookmarkEnd w:id="30"/>
    <w:bookmarkStart w:id="41" w:name="Xccd76e4d53149ab35f01f5f1b6e6c50d2b6dbc8"/>
    <w:p>
      <w:pPr>
        <w:pStyle w:val="Heading1"/>
      </w:pPr>
      <w:r>
        <w:t xml:space="preserve">3. Detailed Product Carbon Footprint Analysis for eqyhkwozmn</w:t>
      </w:r>
    </w:p>
    <w:bookmarkStart w:id="32" w:name="X6772cbc4ac5b4df5e351deec4ded21de5871a11"/>
    <w:p>
      <w:pPr>
        <w:pStyle w:val="Heading2"/>
      </w:pPr>
      <w:r>
        <w:t xml:space="preserve">3.1. Material Acquisition &amp; Pre-processing (Scope 3 - Upstream - Category 1: Purchased Goods &amp; Services)</w:t>
      </w:r>
    </w:p>
    <w:p>
      <w:pPr>
        <w:pStyle w:val="FirstParagraph"/>
      </w:pPr>
      <w:r>
        <w:t xml:space="preserve">The Bill of Materials (BOM) for eqyhkwozmn forms the basis for calculating upstream material impacts. The emission factors used are industry averages based on the material category and processing, reflecting a "cradle-to-gate" boundary for each material.</w:t>
      </w:r>
    </w:p>
    <w:bookmarkStart w:id="31" w:name="X1da231e5dd4de252b8e94021504b440698a04c9"/>
    <w:p>
      <w:pPr>
        <w:pStyle w:val="Heading3"/>
      </w:pPr>
      <w:r>
        <w:t xml:space="preserve">Detailed Bill of Materials (BOM) Breakdown: onuelhkp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7.40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5.5</w:t>
            </w:r>
          </w:p>
        </w:tc>
        <w:tc>
          <w:tcPr/>
          <w:p>
            <w:pPr>
              <w:pStyle w:val="Compact"/>
              <w:jc w:val="left"/>
            </w:pPr>
            <w:r>
              <w:t xml:space="preserve">1.10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Subtotal Material Emissions:</w:t>
            </w:r>
          </w:p>
        </w:tc>
        <w:tc>
          <w:tcPr/>
          <w:p>
            <w:pPr>
              <w:pStyle w:val="Compact"/>
              <w:jc w:val="left"/>
            </w:pPr>
            <w:r>
              <w:rPr>
                <w:bCs/>
                <w:b/>
              </w:rPr>
              <w:t xml:space="preserve">10.05 kg CO2e</w:t>
            </w:r>
          </w:p>
        </w:tc>
      </w:tr>
    </w:tbl>
    <w:p>
      <w:pPr>
        <w:pStyle w:val="BodyText"/>
      </w:pPr>
      <w:r>
        <w:rPr>
          <w:iCs/>
          <w:i/>
        </w:rPr>
        <w:t xml:space="preserve">Emission factors used are illustrative industry averages: Aluminium (14.8 kg CO2e/kg), Plastic (5.5 kg CO2e/kg), Circuit Board (15.0 kg CO2e/unit - illustrative), Packaging (1.0 kg CO2e/kg).</w:t>
      </w:r>
    </w:p>
    <w:bookmarkEnd w:id="31"/>
    <w:bookmarkEnd w:id="32"/>
    <w:bookmarkStart w:id="34" w:name="X02d24a712bdad37b4841a777d738c3ec99e19e8"/>
    <w:p>
      <w:pPr>
        <w:pStyle w:val="Heading2"/>
      </w:pPr>
      <w:r>
        <w:t xml:space="preserve">3.2. Manufacturing/Production (Scope 2: Purchased Electricity; Scope 1: Direct Emissions)</w:t>
      </w:r>
    </w:p>
    <w:p>
      <w:pPr>
        <w:pStyle w:val="FirstParagraph"/>
      </w:pPr>
      <w:r>
        <w:t xml:space="preserve">The manufacturing process for eqyhkwozmn takes place in China. The energy consumption and renewable energy usage data provided are used for calculation.</w:t>
      </w:r>
    </w:p>
    <w:p>
      <w:pPr>
        <w:numPr>
          <w:ilvl w:val="0"/>
          <w:numId w:val="1004"/>
        </w:numPr>
        <w:pStyle w:val="Compact"/>
      </w:pPr>
      <w:r>
        <w:rPr>
          <w:bCs/>
          <w:b/>
        </w:rPr>
        <w:t xml:space="preserve">Energy Intensity (kWh/unit):</w:t>
      </w:r>
      <w:r>
        <w:t xml:space="preserve"> </w:t>
      </w:r>
      <w:r>
        <w:t xml:space="preserve">fvzimsxdpl (2.5 kWh/unit)</w:t>
      </w:r>
    </w:p>
    <w:p>
      <w:pPr>
        <w:numPr>
          <w:ilvl w:val="0"/>
          <w:numId w:val="1004"/>
        </w:numPr>
        <w:pStyle w:val="Compact"/>
      </w:pPr>
      <w:r>
        <w:rPr>
          <w:bCs/>
          <w:b/>
        </w:rPr>
        <w:t xml:space="preserve">Renewable Energy Usage:</w:t>
      </w:r>
      <w:r>
        <w:t xml:space="preserve"> </w:t>
      </w:r>
      <w:r>
        <w:t xml:space="preserve">isflzjvyhk (60%)</w:t>
      </w:r>
    </w:p>
    <w:bookmarkStart w:id="33" w:name="calculation"/>
    <w:p>
      <w:pPr>
        <w:pStyle w:val="Heading3"/>
      </w:pPr>
      <w:r>
        <w:t xml:space="preserve">Calculation:</w:t>
      </w:r>
    </w:p>
    <w:p>
      <w:pPr>
        <w:pStyle w:val="FirstParagraph"/>
      </w:pPr>
      <w:r>
        <w:t xml:space="preserve">Total Electricity Consumed = 2.5 kWh/unit</w:t>
      </w:r>
    </w:p>
    <w:p>
      <w:pPr>
        <w:pStyle w:val="BodyText"/>
      </w:pPr>
      <w:r>
        <w:t xml:space="preserve">Electricity from Renewable Sources = 2.5 kWh/unit * 60% = 1.5 kWh/unit (assumed 0 kgCO2e/kWh for renewables)</w:t>
      </w:r>
    </w:p>
    <w:p>
      <w:pPr>
        <w:pStyle w:val="BodyText"/>
      </w:pPr>
      <w:r>
        <w:t xml:space="preserve">Electricity from Grid Mix = 2.5 kWh/unit * (1 - 60%) = 1.0 kWh/unit</w:t>
      </w:r>
    </w:p>
    <w:p>
      <w:pPr>
        <w:pStyle w:val="BodyText"/>
      </w:pPr>
      <w:r>
        <w:t xml:space="preserve">China Electricity Grid Emission Factor = 0.6 kg CO2e/kWh</w:t>
      </w:r>
    </w:p>
    <w:p>
      <w:pPr>
        <w:pStyle w:val="BodyText"/>
      </w:pPr>
      <w:r>
        <w:t xml:space="preserve">Manufacturing Emissions (Scope 2) = 1.0 kWh/unit * 0.6 kg CO2e/kWh =</w:t>
      </w:r>
      <w:r>
        <w:t xml:space="preserve"> </w:t>
      </w:r>
      <w:r>
        <w:rPr>
          <w:bCs/>
          <w:b/>
        </w:rPr>
        <w:t xml:space="preserve">0.6 kg CO2e</w:t>
      </w:r>
    </w:p>
    <w:p>
      <w:pPr>
        <w:pStyle w:val="BodyText"/>
      </w:pPr>
      <w:r>
        <w:rPr>
          <w:iCs/>
          <w:i/>
        </w:rPr>
        <w:t xml:space="preserve">Note: Direct Scope 1 emissions from on-site fuel combustion for manufacturing processes are considered negligible or not explicitly covered by the provided parameters.</w:t>
      </w:r>
    </w:p>
    <w:bookmarkEnd w:id="33"/>
    <w:bookmarkEnd w:id="34"/>
    <w:bookmarkStart w:id="36" w:name="Xe09b2b7b089391d73109a7c35b00853c241c36d"/>
    <w:p>
      <w:pPr>
        <w:pStyle w:val="Heading2"/>
      </w:pPr>
      <w:r>
        <w:t xml:space="preserve">3.3. Transport &amp; Distribution (Scope 3 - Upstream: Category 4; Downstream: Category 9)</w:t>
      </w:r>
    </w:p>
    <w:p>
      <w:pPr>
        <w:pStyle w:val="FirstParagraph"/>
      </w:pPr>
      <w:r>
        <w:t xml:space="preserve">Logistics play a critical role in the product\'s footprint. The analysis incorporates specific transport parameters.</w:t>
      </w:r>
    </w:p>
    <w:p>
      <w:pPr>
        <w:numPr>
          <w:ilvl w:val="0"/>
          <w:numId w:val="1005"/>
        </w:numPr>
        <w:pStyle w:val="Compact"/>
      </w:pPr>
      <w:r>
        <w:rPr>
          <w:bCs/>
          <w:b/>
        </w:rPr>
        <w:t xml:space="preserve">Transport Mode:</w:t>
      </w:r>
      <w:r>
        <w:t xml:space="preserve"> </w:t>
      </w:r>
      <w:r>
        <w:t xml:space="preserve">Select Mode (Ocean Freight for primary transport)</w:t>
      </w:r>
    </w:p>
    <w:p>
      <w:pPr>
        <w:numPr>
          <w:ilvl w:val="0"/>
          <w:numId w:val="1005"/>
        </w:numPr>
        <w:pStyle w:val="Compact"/>
      </w:pPr>
      <w:r>
        <w:rPr>
          <w:bCs/>
          <w:b/>
        </w:rPr>
        <w:t xml:space="preserve">Transport Distance:</w:t>
      </w:r>
      <w:r>
        <w:t xml:space="preserve"> </w:t>
      </w:r>
      <w:r>
        <w:t xml:space="preserve">prndgkdmym (15000 km)</w:t>
      </w:r>
    </w:p>
    <w:p>
      <w:pPr>
        <w:numPr>
          <w:ilvl w:val="0"/>
          <w:numId w:val="1005"/>
        </w:numPr>
        <w:pStyle w:val="Compact"/>
      </w:pPr>
      <w:r>
        <w:rPr>
          <w:bCs/>
          <w:b/>
        </w:rPr>
        <w:t xml:space="preserve">Last-Mile Delivery Channel:</w:t>
      </w:r>
      <w:r>
        <w:t xml:space="preserve"> </w:t>
      </w:r>
      <w:r>
        <w:t xml:space="preserve">Delivery Type (Road - Heavy-Duty Truck)</w:t>
      </w:r>
    </w:p>
    <w:p>
      <w:pPr>
        <w:numPr>
          <w:ilvl w:val="0"/>
          <w:numId w:val="1005"/>
        </w:numPr>
        <w:pStyle w:val="Compact"/>
      </w:pPr>
      <w:r>
        <w:rPr>
          <w:bCs/>
          <w:b/>
        </w:rPr>
        <w:t xml:space="preserve">Illustrative Last-Mile Distance:</w:t>
      </w:r>
      <w:r>
        <w:t xml:space="preserve"> </w:t>
      </w:r>
      <w:r>
        <w:t xml:space="preserve">500 km</w:t>
      </w:r>
    </w:p>
    <w:p>
      <w:pPr>
        <w:numPr>
          <w:ilvl w:val="0"/>
          <w:numId w:val="1005"/>
        </w:numPr>
        <w:pStyle w:val="Compact"/>
      </w:pPr>
      <w:r>
        <w:rPr>
          <w:bCs/>
          <w:b/>
        </w:rPr>
        <w:t xml:space="preserve">Total Product Weight:</w:t>
      </w:r>
      <w:r>
        <w:t xml:space="preserve"> </w:t>
      </w:r>
      <w:r>
        <w:t xml:space="preserve">Sum of BOM material quantities = 0.85 kg = 0.00085 tonnes</w:t>
      </w:r>
    </w:p>
    <w:bookmarkStart w:id="35" w:name="calculation-1"/>
    <w:p>
      <w:pPr>
        <w:pStyle w:val="Heading3"/>
      </w:pPr>
      <w:r>
        <w:t xml:space="preserve">Calculation:</w:t>
      </w:r>
    </w:p>
    <w:p>
      <w:pPr>
        <w:pStyle w:val="FirstParagraph"/>
      </w:pPr>
      <w:r>
        <w:rPr>
          <w:bCs/>
          <w:b/>
        </w:rPr>
        <w:t xml:space="preserve">Ocean Freight Emissions:</w:t>
      </w:r>
    </w:p>
    <w:p>
      <w:pPr>
        <w:numPr>
          <w:ilvl w:val="0"/>
          <w:numId w:val="1006"/>
        </w:numPr>
        <w:pStyle w:val="Compact"/>
      </w:pPr>
      <w:r>
        <w:t xml:space="preserve">Emission Factor (Ocean Freight) = 0.016 kg CO2e/tkm</w:t>
      </w:r>
    </w:p>
    <w:p>
      <w:pPr>
        <w:numPr>
          <w:ilvl w:val="0"/>
          <w:numId w:val="1006"/>
        </w:numPr>
        <w:pStyle w:val="Compact"/>
      </w:pPr>
      <w:r>
        <w:t xml:space="preserve">Emissions = 0.00085 tonnes * 15000 km * 0.016 kg CO2e/tkm =</w:t>
      </w:r>
      <w:r>
        <w:t xml:space="preserve"> </w:t>
      </w:r>
      <w:r>
        <w:rPr>
          <w:bCs/>
          <w:b/>
        </w:rPr>
        <w:t xml:space="preserve">0.204 kg CO2e</w:t>
      </w:r>
    </w:p>
    <w:p>
      <w:pPr>
        <w:pStyle w:val="FirstParagraph"/>
      </w:pPr>
      <w:r>
        <w:rPr>
          <w:bCs/>
          <w:b/>
        </w:rPr>
        <w:t xml:space="preserve">Road Freight (Last-Mile) Emissions:</w:t>
      </w:r>
    </w:p>
    <w:p>
      <w:pPr>
        <w:numPr>
          <w:ilvl w:val="0"/>
          <w:numId w:val="1007"/>
        </w:numPr>
        <w:pStyle w:val="Compact"/>
      </w:pPr>
      <w:r>
        <w:t xml:space="preserve">Emission Factor (Road Freight - Heavy-Duty Truck) = 0.1 kg CO2e/tkm</w:t>
      </w:r>
    </w:p>
    <w:p>
      <w:pPr>
        <w:numPr>
          <w:ilvl w:val="0"/>
          <w:numId w:val="1007"/>
        </w:numPr>
        <w:pStyle w:val="Compact"/>
      </w:pPr>
      <w:r>
        <w:t xml:space="preserve">Emissions = 0.00085 tonnes * 500 km * 0.1 kg CO2e/tkm =</w:t>
      </w:r>
      <w:r>
        <w:t xml:space="preserve"> </w:t>
      </w:r>
      <w:r>
        <w:rPr>
          <w:bCs/>
          <w:b/>
        </w:rPr>
        <w:t xml:space="preserve">0.0425 kg CO2e</w:t>
      </w:r>
    </w:p>
    <w:p>
      <w:pPr>
        <w:pStyle w:val="FirstParagraph"/>
      </w:pPr>
      <w:r>
        <w:t xml:space="preserve">Total Transport Emissions (Scope 3) = 0.204 kg CO2e + 0.0425 kg CO2e =</w:t>
      </w:r>
      <w:r>
        <w:t xml:space="preserve"> </w:t>
      </w:r>
      <w:r>
        <w:rPr>
          <w:bCs/>
          <w:b/>
        </w:rPr>
        <w:t xml:space="preserve">0.2465 kg CO2e</w:t>
      </w:r>
    </w:p>
    <w:bookmarkEnd w:id="35"/>
    <w:bookmarkEnd w:id="36"/>
    <w:bookmarkStart w:id="38" w:name="X42e3deaf714d74ac87b31492272cdcfb6c88125"/>
    <w:p>
      <w:pPr>
        <w:pStyle w:val="Heading2"/>
      </w:pPr>
      <w:r>
        <w:t xml:space="preserve">3.4. Use Phase (Scope 3 - Downstream - Category 11: Use of Sold Products)</w:t>
      </w:r>
    </w:p>
    <w:p>
      <w:pPr>
        <w:pStyle w:val="FirstParagraph"/>
      </w:pPr>
      <w:r>
        <w:t xml:space="preserve">The use phase is a significant contributor to the product\'s overall footprint, considering its lifespan and energy consumption.</w:t>
      </w:r>
    </w:p>
    <w:p>
      <w:pPr>
        <w:numPr>
          <w:ilvl w:val="0"/>
          <w:numId w:val="1008"/>
        </w:numPr>
        <w:pStyle w:val="Compact"/>
      </w:pPr>
      <w:r>
        <w:rPr>
          <w:bCs/>
          <w:b/>
        </w:rPr>
        <w:t xml:space="preserve">Product Lifespan:</w:t>
      </w:r>
      <w:r>
        <w:t xml:space="preserve"> </w:t>
      </w:r>
      <w:r>
        <w:t xml:space="preserve">hxgzdjhxnd (5 years)</w:t>
      </w:r>
    </w:p>
    <w:p>
      <w:pPr>
        <w:numPr>
          <w:ilvl w:val="0"/>
          <w:numId w:val="1008"/>
        </w:numPr>
        <w:pStyle w:val="Compact"/>
      </w:pPr>
      <w:r>
        <w:rPr>
          <w:bCs/>
          <w:b/>
        </w:rPr>
        <w:t xml:space="preserve">Energy Consumption in Use:</w:t>
      </w:r>
      <w:r>
        <w:t xml:space="preserve"> </w:t>
      </w:r>
      <w:r>
        <w:t xml:space="preserve">nrohtwyzdu (10 kWh/year)</w:t>
      </w:r>
    </w:p>
    <w:bookmarkStart w:id="37" w:name="calculation-2"/>
    <w:p>
      <w:pPr>
        <w:pStyle w:val="Heading3"/>
      </w:pPr>
      <w:r>
        <w:t xml:space="preserve">Calculation:</w:t>
      </w:r>
    </w:p>
    <w:p>
      <w:pPr>
        <w:pStyle w:val="FirstParagraph"/>
      </w:pPr>
      <w:r>
        <w:t xml:space="preserve">Total Energy Consumption During Use = 10 kWh/year * 5 years = 50 kWh</w:t>
      </w:r>
    </w:p>
    <w:p>
      <w:pPr>
        <w:pStyle w:val="BodyText"/>
      </w:pPr>
      <w:r>
        <w:t xml:space="preserve">European Electricity Grid Emission Factor (illustrative average) = 0.3 kg CO2e/kWh</w:t>
      </w:r>
    </w:p>
    <w:p>
      <w:pPr>
        <w:pStyle w:val="BodyText"/>
      </w:pPr>
      <w:r>
        <w:t xml:space="preserve">Use Phase Emissions (Scope 3) = 50 kWh * 0.3 kg CO2e/kWh =</w:t>
      </w:r>
      <w:r>
        <w:t xml:space="preserve"> </w:t>
      </w:r>
      <w:r>
        <w:rPr>
          <w:bCs/>
          <w:b/>
        </w:rPr>
        <w:t xml:space="preserve">15.0 kg CO2e</w:t>
      </w:r>
    </w:p>
    <w:bookmarkEnd w:id="37"/>
    <w:bookmarkEnd w:id="38"/>
    <w:bookmarkStart w:id="40" w:name="X36cd065e7167320fe6e488006670df2d50fdf06"/>
    <w:p>
      <w:pPr>
        <w:pStyle w:val="Heading2"/>
      </w:pPr>
      <w:r>
        <w:t xml:space="preserve">3.5. End-of-Life (EoL) (Scope 3 - Downstream - Category 12: End-of-Life Treatment of Sold Products)</w:t>
      </w:r>
    </w:p>
    <w:p>
      <w:pPr>
        <w:pStyle w:val="FirstParagraph"/>
      </w:pPr>
      <w:r>
        <w:t xml:space="preserve">End-of-life scenarios, including recyclability and circular programs, are incorporated to reflect circular economy impacts.</w:t>
      </w:r>
    </w:p>
    <w:p>
      <w:pPr>
        <w:numPr>
          <w:ilvl w:val="0"/>
          <w:numId w:val="1009"/>
        </w:numPr>
        <w:pStyle w:val="Compact"/>
      </w:pPr>
      <w:r>
        <w:rPr>
          <w:bCs/>
          <w:b/>
        </w:rPr>
        <w:t xml:space="preserve">Recyclability Percentage:</w:t>
      </w:r>
      <w:r>
        <w:t xml:space="preserve"> </w:t>
      </w:r>
      <w:r>
        <w:t xml:space="preserve">rqeqzhswjw (75%)</w:t>
      </w:r>
    </w:p>
    <w:p>
      <w:pPr>
        <w:numPr>
          <w:ilvl w:val="0"/>
          <w:numId w:val="1009"/>
        </w:numPr>
        <w:pStyle w:val="Compact"/>
      </w:pPr>
      <w:r>
        <w:rPr>
          <w:bCs/>
          <w:b/>
        </w:rPr>
        <w:t xml:space="preserve">Circular/Take-back Programs:</w:t>
      </w:r>
      <w:r>
        <w:t xml:space="preserve"> </w:t>
      </w:r>
      <w:r>
        <w:t xml:space="preserve">fozkvmnjdl (Yes - Material Recovery)</w:t>
      </w:r>
    </w:p>
    <w:p>
      <w:pPr>
        <w:numPr>
          <w:ilvl w:val="0"/>
          <w:numId w:val="1009"/>
        </w:numPr>
        <w:pStyle w:val="Compact"/>
      </w:pPr>
      <w:r>
        <w:rPr>
          <w:bCs/>
          <w:b/>
        </w:rPr>
        <w:t xml:space="preserve">Total Product Weight:</w:t>
      </w:r>
      <w:r>
        <w:t xml:space="preserve"> </w:t>
      </w:r>
      <w:r>
        <w:t xml:space="preserve">0.85 kg</w:t>
      </w:r>
    </w:p>
    <w:bookmarkStart w:id="39" w:name="calculation-3"/>
    <w:p>
      <w:pPr>
        <w:pStyle w:val="Heading3"/>
      </w:pPr>
      <w:r>
        <w:t xml:space="preserve">Calculation:</w:t>
      </w:r>
    </w:p>
    <w:p>
      <w:pPr>
        <w:pStyle w:val="FirstParagraph"/>
      </w:pPr>
      <w:r>
        <w:t xml:space="preserve">Recycled Portion = 0.85 kg * 75% = 0.6375 kg</w:t>
      </w:r>
    </w:p>
    <w:p>
      <w:pPr>
        <w:pStyle w:val="BodyText"/>
      </w:pPr>
      <w:r>
        <w:t xml:space="preserve">Non-Recycled Portion = 0.85 kg * (1 - 75%) = 0.2125 kg</w:t>
      </w:r>
    </w:p>
    <w:p>
      <w:pPr>
        <w:pStyle w:val="BodyText"/>
      </w:pPr>
      <w:r>
        <w:t xml:space="preserve">Recycling Credit (illustrative for avoided virgin material) = -1.0 kg CO2e/kg</w:t>
      </w:r>
    </w:p>
    <w:p>
      <w:pPr>
        <w:pStyle w:val="BodyText"/>
      </w:pPr>
      <w:r>
        <w:t xml:space="preserve">EoL Credit from Recycling = 0.6375 kg * (-1.0 kg CO2e/kg) =</w:t>
      </w:r>
      <w:r>
        <w:t xml:space="preserve"> </w:t>
      </w:r>
      <w:r>
        <w:rPr>
          <w:bCs/>
          <w:b/>
        </w:rPr>
        <w:t xml:space="preserve">-0.6375 kg CO2e</w:t>
      </w:r>
    </w:p>
    <w:p>
      <w:pPr>
        <w:pStyle w:val="BodyText"/>
      </w:pPr>
      <w:r>
        <w:t xml:space="preserve">Waste Disposal Emission Factor (illustrative for non-recycled mixed waste) = 0.2 kg CO2e/kg</w:t>
      </w:r>
    </w:p>
    <w:p>
      <w:pPr>
        <w:pStyle w:val="BodyText"/>
      </w:pPr>
      <w:r>
        <w:t xml:space="preserve">EoL Emissions from Disposal = 0.2125 kg * 0.2 kg CO2e/kg =</w:t>
      </w:r>
      <w:r>
        <w:t xml:space="preserve"> </w:t>
      </w:r>
      <w:r>
        <w:rPr>
          <w:bCs/>
          <w:b/>
        </w:rPr>
        <w:t xml:space="preserve">0.0425 kg CO2e</w:t>
      </w:r>
    </w:p>
    <w:p>
      <w:pPr>
        <w:pStyle w:val="BodyText"/>
      </w:pPr>
      <w:r>
        <w:t xml:space="preserve">Total EoL Emissions (Scope 3) = -0.6375 kg CO2e + 0.0425 kg CO2e =</w:t>
      </w:r>
      <w:r>
        <w:t xml:space="preserve"> </w:t>
      </w:r>
      <w:r>
        <w:rPr>
          <w:bCs/>
          <w:b/>
        </w:rPr>
        <w:t xml:space="preserve">-0.595 kg CO2e</w:t>
      </w:r>
    </w:p>
    <w:p>
      <w:r>
        <w:pict>
          <v:rect style="width:0;height:1.5pt" o:hralign="center" o:hrstd="t" o:hr="t"/>
        </w:pict>
      </w:r>
    </w:p>
    <w:bookmarkEnd w:id="39"/>
    <w:bookmarkEnd w:id="40"/>
    <w:bookmarkEnd w:id="41"/>
    <w:bookmarkStart w:id="44" w:name="overall-product-carbon-footprint-summary"/>
    <w:p>
      <w:pPr>
        <w:pStyle w:val="Heading1"/>
      </w:pPr>
      <w:r>
        <w:t xml:space="preserve">4. Overall Product Carbon Footprint Summary</w:t>
      </w:r>
    </w:p>
    <w:p>
      <w:pPr>
        <w:pStyle w:val="FirstParagraph"/>
      </w:pPr>
      <w:r>
        <w:t xml:space="preserve">The aggregated Product Carbon Footprint for one functional unit of eqyhkwozmn is presented below, broken down by life cycle stage and GHG Protocol scope.</w:t>
      </w:r>
    </w:p>
    <w:bookmarkStart w:id="42" w:name="pcf-by-life-cycle-stage"/>
    <w:p>
      <w:pPr>
        <w:pStyle w:val="Heading2"/>
      </w:pPr>
      <w:r>
        <w:t xml:space="preserve">4.1. PCF by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10.05</w:t>
            </w:r>
          </w:p>
        </w:tc>
        <w:tc>
          <w:tcPr/>
          <w:p>
            <w:pPr>
              <w:pStyle w:val="Compact"/>
              <w:jc w:val="left"/>
            </w:pPr>
            <w:r>
              <w:t xml:space="preserve">39.72%</w:t>
            </w:r>
          </w:p>
        </w:tc>
      </w:tr>
      <w:tr>
        <w:tc>
          <w:tcPr/>
          <w:p>
            <w:pPr>
              <w:pStyle w:val="Compact"/>
              <w:jc w:val="left"/>
            </w:pPr>
            <w:r>
              <w:t xml:space="preserve">Manufacturing (Energy)</w:t>
            </w:r>
          </w:p>
        </w:tc>
        <w:tc>
          <w:tcPr/>
          <w:p>
            <w:pPr>
              <w:pStyle w:val="Compact"/>
              <w:jc w:val="left"/>
            </w:pPr>
            <w:r>
              <w:t xml:space="preserve">0.60</w:t>
            </w:r>
          </w:p>
        </w:tc>
        <w:tc>
          <w:tcPr/>
          <w:p>
            <w:pPr>
              <w:pStyle w:val="Compact"/>
              <w:jc w:val="left"/>
            </w:pPr>
            <w:r>
              <w:t xml:space="preserve">2.37%</w:t>
            </w:r>
          </w:p>
        </w:tc>
      </w:tr>
      <w:tr>
        <w:tc>
          <w:tcPr/>
          <w:p>
            <w:pPr>
              <w:pStyle w:val="Compact"/>
              <w:jc w:val="left"/>
            </w:pPr>
            <w:r>
              <w:t xml:space="preserve">Transport &amp; Distribution</w:t>
            </w:r>
          </w:p>
        </w:tc>
        <w:tc>
          <w:tcPr/>
          <w:p>
            <w:pPr>
              <w:pStyle w:val="Compact"/>
              <w:jc w:val="left"/>
            </w:pPr>
            <w:r>
              <w:t xml:space="preserve">0.25</w:t>
            </w:r>
          </w:p>
        </w:tc>
        <w:tc>
          <w:tcPr/>
          <w:p>
            <w:pPr>
              <w:pStyle w:val="Compact"/>
              <w:jc w:val="left"/>
            </w:pPr>
            <w:r>
              <w:t xml:space="preserve">0.99%</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59.28%</w:t>
            </w:r>
          </w:p>
        </w:tc>
      </w:tr>
      <w:tr>
        <w:tc>
          <w:tcPr/>
          <w:p>
            <w:pPr>
              <w:pStyle w:val="Compact"/>
              <w:jc w:val="left"/>
            </w:pPr>
            <w:r>
              <w:t xml:space="preserve">End-of-Life (Net)</w:t>
            </w:r>
          </w:p>
        </w:tc>
        <w:tc>
          <w:tcPr/>
          <w:p>
            <w:pPr>
              <w:pStyle w:val="Compact"/>
              <w:jc w:val="left"/>
            </w:pPr>
            <w:r>
              <w:t xml:space="preserve">-0.60</w:t>
            </w:r>
          </w:p>
        </w:tc>
        <w:tc>
          <w:tcPr/>
          <w:p>
            <w:pPr>
              <w:pStyle w:val="Compact"/>
              <w:jc w:val="left"/>
            </w:pPr>
            <w:r>
              <w:t xml:space="preserve">-2.37%</w:t>
            </w:r>
          </w:p>
        </w:tc>
      </w:tr>
      <w:tr>
        <w:tc>
          <w:tcPr/>
          <w:p>
            <w:pPr>
              <w:pStyle w:val="Compact"/>
              <w:jc w:val="left"/>
            </w:pPr>
            <w:r>
              <w:t xml:space="preserve">Total Product Carbon Footprint</w:t>
            </w:r>
          </w:p>
        </w:tc>
        <w:tc>
          <w:tcPr/>
          <w:p>
            <w:pPr>
              <w:pStyle w:val="Compact"/>
              <w:jc w:val="left"/>
            </w:pPr>
            <w:r>
              <w:rPr>
                <w:bCs/>
                <w:b/>
              </w:rPr>
              <w:t xml:space="preserve">25.30</w:t>
            </w:r>
          </w:p>
        </w:tc>
        <w:tc>
          <w:tcPr/>
          <w:p>
            <w:pPr>
              <w:pStyle w:val="Compact"/>
              <w:jc w:val="left"/>
            </w:pPr>
            <w:r>
              <w:rPr>
                <w:bCs/>
                <w:b/>
              </w:rPr>
              <w:t xml:space="preserve">100.00%</w:t>
            </w:r>
          </w:p>
        </w:tc>
      </w:tr>
    </w:tbl>
    <w:p>
      <w:pPr>
        <w:pStyle w:val="BodyText"/>
      </w:pPr>
      <w:r>
        <w:rPr>
          <w:iCs/>
          <w:i/>
        </w:rPr>
        <w:t xml:space="preserve">Note: Values rounded to two decimal places for presentation; calculations performed with higher precision.</w:t>
      </w:r>
    </w:p>
    <w:bookmarkEnd w:id="42"/>
    <w:bookmarkStart w:id="43" w:name="pcf-by-ghg-protocol-scope"/>
    <w:p>
      <w:pPr>
        <w:pStyle w:val="Heading2"/>
      </w:pPr>
      <w:r>
        <w:t xml:space="preserve">4.2. PCF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(e.g., fuel combustion). Assumed negligible for this product\'s manufacturing beyond purchased energy.</w:t>
            </w:r>
          </w:p>
        </w:tc>
      </w:tr>
      <w:tr>
        <w:tc>
          <w:tcPr/>
          <w:p>
            <w:pPr>
              <w:pStyle w:val="Compact"/>
              <w:jc w:val="left"/>
            </w:pPr>
            <w:r>
              <w:t xml:space="preserve">Scope 2</w:t>
            </w:r>
          </w:p>
        </w:tc>
        <w:tc>
          <w:tcPr/>
          <w:p>
            <w:pPr>
              <w:pStyle w:val="Compact"/>
              <w:jc w:val="left"/>
            </w:pPr>
            <w:r>
              <w:t xml:space="preserve">0.60</w:t>
            </w:r>
          </w:p>
        </w:tc>
        <w:tc>
          <w:tcPr/>
          <w:p>
            <w:pPr>
              <w:pStyle w:val="Compact"/>
              <w:jc w:val="left"/>
            </w:pPr>
            <w:r>
              <w:t xml:space="preserve">Indirect emissions from purchased electricity for manufacturing.</w:t>
            </w:r>
          </w:p>
        </w:tc>
      </w:tr>
      <w:tr>
        <w:tc>
          <w:tcPr/>
          <w:p>
            <w:pPr>
              <w:pStyle w:val="Compact"/>
              <w:jc w:val="left"/>
            </w:pPr>
            <w:r>
              <w:t xml:space="preserve">Scope 3</w:t>
            </w:r>
          </w:p>
        </w:tc>
        <w:tc>
          <w:tcPr/>
          <w:p>
            <w:pPr>
              <w:pStyle w:val="Compact"/>
              <w:jc w:val="left"/>
            </w:pPr>
            <w:r>
              <w:t xml:space="preserve">24.70</w:t>
            </w:r>
          </w:p>
        </w:tc>
        <w:tc>
          <w:tcPr/>
          <w:p>
            <w:pPr>
              <w:pStyle w:val="Compact"/>
              <w:jc w:val="left"/>
            </w:pPr>
            <w:r>
              <w:t xml:space="preserve">All other indirect emissions from the value chain (materials, transport, use phase, end-of-life).</w:t>
            </w:r>
          </w:p>
        </w:tc>
      </w:tr>
      <w:tr>
        <w:tc>
          <w:tcPr/>
          <w:p>
            <w:pPr>
              <w:pStyle w:val="Compact"/>
              <w:jc w:val="left"/>
            </w:pPr>
            <w:r>
              <w:t xml:space="preserve">Total Product Carbon Footprint</w:t>
            </w:r>
          </w:p>
        </w:tc>
        <w:tc>
          <w:tcPr/>
          <w:p>
            <w:pPr>
              <w:pStyle w:val="Compact"/>
              <w:jc w:val="left"/>
            </w:pPr>
            <w:r>
              <w:rPr>
                <w:bCs/>
                <w:b/>
              </w:rPr>
              <w:t xml:space="preserve">25.30</w:t>
            </w:r>
          </w:p>
        </w:tc>
        <w:tc>
          <w:tcPr/>
          <w:p>
            <w:pPr>
              <w:pStyle w:val="Compact"/>
            </w:pPr>
          </w:p>
        </w:tc>
      </w:tr>
    </w:tbl>
    <w:p>
      <w:r>
        <w:pict>
          <v:rect style="width:0;height:1.5pt" o:hralign="center" o:hrstd="t" o:hr="t"/>
        </w:pict>
      </w:r>
    </w:p>
    <w:bookmarkEnd w:id="43"/>
    <w:bookmarkEnd w:id="44"/>
    <w:bookmarkStart w:id="47" w:name="hotspots-and-recommendations"/>
    <w:p>
      <w:pPr>
        <w:pStyle w:val="Heading1"/>
      </w:pPr>
      <w:r>
        <w:t xml:space="preserve">5. Hotspots and Recommendations</w:t>
      </w:r>
    </w:p>
    <w:bookmarkStart w:id="45" w:name="emissions-hotspots"/>
    <w:p>
      <w:pPr>
        <w:pStyle w:val="Heading2"/>
      </w:pPr>
      <w:r>
        <w:t xml:space="preserve">5.1. Emissions Hotspots</w:t>
      </w:r>
    </w:p>
    <w:p>
      <w:pPr>
        <w:pStyle w:val="FirstParagraph"/>
      </w:pPr>
      <w:r>
        <w:t xml:space="preserve">Based on the analysis, the primary emissions hotspots for product eqyhkwozmn are:</w:t>
      </w:r>
    </w:p>
    <w:p>
      <w:pPr>
        <w:numPr>
          <w:ilvl w:val="0"/>
          <w:numId w:val="1010"/>
        </w:numPr>
        <w:pStyle w:val="Compact"/>
      </w:pPr>
      <w:r>
        <w:rPr>
          <w:bCs/>
          <w:b/>
        </w:rPr>
        <w:t xml:space="preserve">Use Phase (59.28%):</w:t>
      </w:r>
      <w:r>
        <w:t xml:space="preserve"> </w:t>
      </w:r>
      <w:r>
        <w:t xml:space="preserve">The most significant contributor to the PCF is the energy consumption during the product\'s 5-year lifespan. This is particularly notable given the European electricity grid mix assumed for the use phase.</w:t>
      </w:r>
    </w:p>
    <w:p>
      <w:pPr>
        <w:numPr>
          <w:ilvl w:val="0"/>
          <w:numId w:val="1010"/>
        </w:numPr>
        <w:pStyle w:val="Compact"/>
      </w:pPr>
      <w:r>
        <w:rPr>
          <w:bCs/>
          <w:b/>
        </w:rPr>
        <w:t xml:space="preserve">Material Acquisition &amp; Pre-processing (39.72%):</w:t>
      </w:r>
      <w:r>
        <w:t xml:space="preserve"> </w:t>
      </w:r>
      <w:r>
        <w:t xml:space="preserve">The production of raw materials, especially the Aluminium Casing, accounts for a substantial portion of upstream emissions.</w:t>
      </w:r>
    </w:p>
    <w:bookmarkEnd w:id="45"/>
    <w:bookmarkStart w:id="46" w:name="recommendations-for-emissions-reduction"/>
    <w:p>
      <w:pPr>
        <w:pStyle w:val="Heading2"/>
      </w:pPr>
      <w:r>
        <w:t xml:space="preserve">5.2. Recommendations for Emissions Reduction</w:t>
      </w:r>
    </w:p>
    <w:p>
      <w:pPr>
        <w:numPr>
          <w:ilvl w:val="0"/>
          <w:numId w:val="1011"/>
        </w:numPr>
        <w:pStyle w:val="Compact"/>
      </w:pPr>
      <w:r>
        <w:rPr>
          <w:bCs/>
          <w:b/>
        </w:rPr>
        <w:t xml:space="preserve">Optimize Use Phase Energy Efficiency:</w:t>
      </w:r>
      <w:r>
        <w:t xml:space="preserve"> </w:t>
      </w:r>
      <w:r>
        <w:t xml:space="preserve">Focus on designing product eqyhkwozmn for even lower energy consumption during its use. This could involve exploring more efficient internal components, integrating smart energy management features, or promoting behavioral changes among users.</w:t>
      </w:r>
    </w:p>
    <w:p>
      <w:pPr>
        <w:numPr>
          <w:ilvl w:val="0"/>
          <w:numId w:val="1011"/>
        </w:numPr>
        <w:pStyle w:val="Compact"/>
      </w:pPr>
      <w:r>
        <w:rPr>
          <w:bCs/>
          <w:b/>
        </w:rPr>
        <w:t xml:space="preserve">Source Lower-Carbon Materials:</w:t>
      </w:r>
      <w:r>
        <w:t xml:space="preserve"> </w:t>
      </w:r>
      <w:r>
        <w:t xml:space="preserve">Investigate suppliers offering low-carbon aluminium (e.g., produced with renewable energy) or materials with higher recycled content. Explore alternative materials with inherently lower embodied carbon.</w:t>
      </w:r>
    </w:p>
    <w:p>
      <w:pPr>
        <w:numPr>
          <w:ilvl w:val="0"/>
          <w:numId w:val="1011"/>
        </w:numPr>
        <w:pStyle w:val="Compact"/>
      </w:pPr>
      <w:r>
        <w:rPr>
          <w:bCs/>
          <w:b/>
        </w:rPr>
        <w:t xml:space="preserve">Enhance Circularity:</w:t>
      </w:r>
      <w:r>
        <w:t xml:space="preserve"> </w:t>
      </w:r>
      <w:r>
        <w:t xml:space="preserve">Further expand circular economy initiatives beyond current recyclability. This could include product-as-a-service models, robust take-back schemes for component reuse, or design for disassembly to maximize material recovery. The existing "Yes (Material Recovery)" program should be continuously optimized.</w:t>
      </w:r>
    </w:p>
    <w:p>
      <w:pPr>
        <w:numPr>
          <w:ilvl w:val="0"/>
          <w:numId w:val="1011"/>
        </w:numPr>
        <w:pStyle w:val="Compact"/>
      </w:pPr>
      <w:r>
        <w:rPr>
          <w:bCs/>
          <w:b/>
        </w:rPr>
        <w:t xml:space="preserve">Increase Renewable Energy in Manufacturing:</w:t>
      </w:r>
      <w:r>
        <w:t xml:space="preserve"> </w:t>
      </w:r>
      <w:r>
        <w:t xml:space="preserve">While soyvukyiuv already utilizes 60% renewable energy in production, exploring options to increase this percentage further or invest in off-site renewable energy projects could reduce Scope 2 emissions.</w:t>
      </w:r>
    </w:p>
    <w:p>
      <w:pPr>
        <w:numPr>
          <w:ilvl w:val="0"/>
          <w:numId w:val="1011"/>
        </w:numPr>
        <w:pStyle w:val="Compact"/>
      </w:pPr>
      <w:r>
        <w:rPr>
          <w:bCs/>
          <w:b/>
        </w:rPr>
        <w:t xml:space="preserve">Optimize Logistics:</w:t>
      </w:r>
      <w:r>
        <w:t xml:space="preserve"> </w:t>
      </w:r>
      <w:r>
        <w:t xml:space="preserve">Continuously evaluate and optimize transport routes and modes. While ocean freight is generally efficient, further efficiencies in packaging density and consolidation could yield minor reductions.</w:t>
      </w:r>
    </w:p>
    <w:p>
      <w:r>
        <w:pict>
          <v:rect style="width:0;height:1.5pt" o:hralign="center" o:hrstd="t" o:hr="t"/>
        </w:pict>
      </w:r>
    </w:p>
    <w:p>
      <w:pPr>
        <w:pStyle w:val="FirstParagraph"/>
      </w:pPr>
      <w:r>
        <w:t xml:space="preserve">Confidential - Internal Use Only</w:t>
      </w:r>
    </w:p>
    <w:p>
      <w:pPr>
        <w:pStyle w:val="BodyText"/>
      </w:pPr>
      <w:r>
        <w:t xml:space="preserve">© 2026 soyvukyiuv. All Rights Reserved.</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eqyhkwozmn</dc:title>
  <dc:creator/>
  <dc:description>A high-detail Product Carbon Footprint (PCF) analysis report for product eqyhkwozmn, conducted by vmphnzlopo, Senior Sustainability Consultant for soyvukyiuv, adhering to GHG Protocol standards and 2026 updates.</dc:description>
  <dc:language>en</dc:language>
  <cp:keywords/>
  <dcterms:created xsi:type="dcterms:W3CDTF">2026-05-30T10:36:54Z</dcterms:created>
  <dcterms:modified xsi:type="dcterms:W3CDTF">2026-05-30T10:36:54Z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