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eiugutntol</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Product: eiugutntol</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exsxxmgoti</w:t>
      </w:r>
    </w:p>
    <w:p>
      <w:pPr>
        <w:pStyle w:val="BodyText"/>
      </w:pPr>
      <w:r>
        <w:rPr>
          <w:bCs/>
          <w:b/>
        </w:rPr>
        <w:t xml:space="preserve">Senior Sustainability Consultant:</w:t>
      </w:r>
      <w:r>
        <w:t xml:space="preserve"> </w:t>
      </w:r>
      <w:r>
        <w:t xml:space="preserve">zduriwykjr</w:t>
      </w:r>
    </w:p>
    <w:p>
      <w:pPr>
        <w:pStyle w:val="BodyText"/>
      </w:pPr>
      <w:r>
        <w:t xml:space="preserve">Disclaimer: This report is generated based on available data and industry standards. While efforts have been made to ensure accuracy and adherence to specified methodologies, the figures presented are estimates and subject to limitations of data availability and assumptions made.</w:t>
      </w:r>
    </w:p>
    <w:bookmarkEnd w:id="20"/>
    <w:bookmarkStart w:id="21" w:name="Xa51edbd48c4d33a6385e02a1660e94d20e6efac"/>
    <w:p>
      <w:pPr>
        <w:pStyle w:val="Heading1"/>
      </w:pPr>
      <w:r>
        <w:t xml:space="preserve">Product Carbon Footprint (PCF) Analysis Report for eiugutntol</w:t>
      </w:r>
    </w:p>
    <w:p>
      <w:pPr>
        <w:pStyle w:val="FirstParagraph"/>
      </w:pPr>
      <w:r>
        <w:t xml:space="preserve">Generated Date: May 20, 2026</w:t>
      </w:r>
    </w:p>
    <w:p>
      <w:pPr>
        <w:pStyle w:val="BodyText"/>
      </w:pPr>
      <w:r>
        <w:t xml:space="preserve">Senior Sustainability Consultant: zduriwykjr</w:t>
      </w:r>
    </w:p>
    <w:p>
      <w:pPr>
        <w:pStyle w:val="BodyText"/>
      </w:pPr>
      <w:r>
        <w:t xml:space="preserve">Company: exsxxmgoti</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eiugutntol</w:t>
      </w:r>
      <w:r>
        <w:t xml:space="preserve">, manufactured by</w:t>
      </w:r>
      <w:r>
        <w:t xml:space="preserve"> </w:t>
      </w:r>
      <w:r>
        <w:rPr>
          <w:bCs/>
          <w:b/>
        </w:rPr>
        <w:t xml:space="preserve">exsxxmgoti</w:t>
      </w:r>
      <w:r>
        <w:t xml:space="preserve">. The analysis was conducted by</w:t>
      </w:r>
      <w:r>
        <w:t xml:space="preserve"> </w:t>
      </w:r>
      <w:r>
        <w:rPr>
          <w:bCs/>
          <w:b/>
        </w:rPr>
        <w:t xml:space="preserve">zduriwykjr</w:t>
      </w:r>
      <w:r>
        <w:t xml:space="preserve">, a Senior Sustainability Consultant specializing in GHG Protocol. The primary objective was to quantify the Greenhouse Gas (GHG) emissions associated with the product\'s lifecycle, from material acquisition through end-of-life, adhering strictly to the GHG Protocol standards, including the 2026 Land Sector and Removals (LSR) Standard updates and a minimum of 95% Scope 3 coverage. The total estimated Product Carbon Footprint for one unit of eiugutntol is</w:t>
      </w:r>
      <w:r>
        <w:t xml:space="preserve"> </w:t>
      </w:r>
      <w:r>
        <w:rPr>
          <w:bCs/>
          <w:b/>
        </w:rPr>
        <w:t xml:space="preserve">40.76 kgCO2e</w:t>
      </w:r>
      <w:r>
        <w:t xml:space="preserve">. The use phase and material acquisition are identified as key hotspots for emissions.</w:t>
      </w:r>
    </w:p>
    <w:p>
      <w:r>
        <w:pict>
          <v:rect style="width:0;height:1.5pt" o:hralign="center" o:hrstd="t" o:hr="t"/>
        </w:pict>
      </w:r>
    </w:p>
    <w:bookmarkEnd w:id="22"/>
    <w:bookmarkStart w:id="28" w:name="methodology"/>
    <w:p>
      <w:pPr>
        <w:pStyle w:val="Heading2"/>
      </w:pPr>
      <w:r>
        <w:t xml:space="preserve">2. Methodology</w:t>
      </w:r>
    </w:p>
    <w:p>
      <w:pPr>
        <w:pStyle w:val="FirstParagraph"/>
      </w:pPr>
      <w:r>
        <w:t xml:space="preserve">The PCF analysis followed the five-step methodology prescribed by the GHG Protocol:</w:t>
      </w:r>
    </w:p>
    <w:p>
      <w:pPr>
        <w:numPr>
          <w:ilvl w:val="0"/>
          <w:numId w:val="1001"/>
        </w:numPr>
        <w:pStyle w:val="Heading3"/>
      </w:pPr>
      <w:bookmarkStart w:id="23" w:name="define-scope"/>
      <w:r>
        <w:t xml:space="preserve">Define Scope</w:t>
      </w:r>
      <w:bookmarkEnd w:id="23"/>
    </w:p>
    <w:p>
      <w:pPr>
        <w:numPr>
          <w:ilvl w:val="1"/>
          <w:numId w:val="1002"/>
        </w:numPr>
        <w:pStyle w:val="Compact"/>
      </w:pPr>
      <w:r>
        <w:rPr>
          <w:bCs/>
          <w:b/>
        </w:rPr>
        <w:t xml:space="preserve">Functional Unit:</w:t>
      </w:r>
      <w:r>
        <w:t xml:space="preserve"> </w:t>
      </w:r>
      <w:r>
        <w:t xml:space="preserve">The functional unit for this analysis is 1.0 unit of eiugutntol.</w:t>
      </w:r>
    </w:p>
    <w:p>
      <w:pPr>
        <w:numPr>
          <w:ilvl w:val="1"/>
          <w:numId w:val="1002"/>
        </w:numPr>
        <w:pStyle w:val="Compact"/>
      </w:pPr>
      <w:r>
        <w:rPr>
          <w:bCs/>
          <w:b/>
        </w:rPr>
        <w:t xml:space="preserve">System Boundary:</w:t>
      </w:r>
      <w:r>
        <w:t xml:space="preserve"> </w:t>
      </w:r>
      <w:r>
        <w:t xml:space="preserve">The system boundary is defined as "factory_gate," encompassing raw material extraction, manufacturing, and transport to the factory gate. However, for a comprehensive PCF, downstream stages (product distribution, use phase, and end-of-life) are also included in the calculations.</w:t>
      </w:r>
    </w:p>
    <w:p>
      <w:pPr>
        <w:numPr>
          <w:ilvl w:val="1"/>
          <w:numId w:val="1002"/>
        </w:numPr>
        <w:pStyle w:val="Compact"/>
      </w:pPr>
      <w:r>
        <w:rPr>
          <w:bCs/>
          <w:b/>
        </w:rPr>
        <w:t xml:space="preserve">Geographic Scope:</w:t>
      </w:r>
      <w:r>
        <w:t xml:space="preserve"> </w:t>
      </w:r>
      <w:r>
        <w:t xml:space="preserve">The final production country is China, with a supply chain focus on Europe.</w:t>
      </w:r>
    </w:p>
    <w:p>
      <w:pPr>
        <w:numPr>
          <w:ilvl w:val="1"/>
          <w:numId w:val="1002"/>
        </w:numPr>
        <w:pStyle w:val="Compact"/>
      </w:pPr>
      <w:r>
        <w:rPr>
          <w:bCs/>
          <w:b/>
        </w:rPr>
        <w:t xml:space="preserve">Allocation:</w:t>
      </w:r>
      <w:r>
        <w:t xml:space="preserve"> </w:t>
      </w:r>
      <w:r>
        <w:t xml:space="preserve">Emissions are allocated based on physical parameters (e.g., mass for materials, energy for production, tkm for transport) relevant to the functional unit. Avoided emissions from recycling are accounted for by reducing end-of-life impacts from the recycled fraction.</w:t>
      </w:r>
    </w:p>
    <w:p>
      <w:pPr>
        <w:numPr>
          <w:ilvl w:val="0"/>
          <w:numId w:val="1001"/>
        </w:numPr>
        <w:pStyle w:val="Heading3"/>
      </w:pPr>
      <w:bookmarkStart w:id="24" w:name="map-lifecycle-lci-inventory-stages"/>
      <w:r>
        <w:t xml:space="preserve">Map Lifecycle (LCI Inventory Stages)</w:t>
      </w:r>
      <w:bookmarkEnd w:id="24"/>
    </w:p>
    <w:p>
      <w:pPr>
        <w:numPr>
          <w:ilvl w:val="0"/>
          <w:numId w:val="1000"/>
        </w:numPr>
      </w:pPr>
      <w:r>
        <w:t xml:space="preserve">The lifecycle stages considered for eiugutntol include:</w:t>
      </w:r>
    </w:p>
    <w:p>
      <w:pPr>
        <w:numPr>
          <w:ilvl w:val="1"/>
          <w:numId w:val="1003"/>
        </w:numPr>
        <w:pStyle w:val="Compact"/>
      </w:pPr>
      <w:r>
        <w:rPr>
          <w:bCs/>
          <w:b/>
        </w:rPr>
        <w:t xml:space="preserve">Material Acquisition &amp; Pre-processing:</w:t>
      </w:r>
      <w:r>
        <w:t xml:space="preserve"> </w:t>
      </w:r>
      <w:r>
        <w:t xml:space="preserve">Extraction, processing, and manufacturing of all components listed in the Bill of Materials (BOM).</w:t>
      </w:r>
    </w:p>
    <w:p>
      <w:pPr>
        <w:numPr>
          <w:ilvl w:val="1"/>
          <w:numId w:val="1003"/>
        </w:numPr>
        <w:pStyle w:val="Compact"/>
      </w:pPr>
      <w:r>
        <w:rPr>
          <w:bCs/>
          <w:b/>
        </w:rPr>
        <w:t xml:space="preserve">Manufacturing/Production:</w:t>
      </w:r>
      <w:r>
        <w:t xml:space="preserve"> </w:t>
      </w:r>
      <w:r>
        <w:t xml:space="preserve">Energy consumption and direct emissions during the assembly and production of the product at the factory in China.</w:t>
      </w:r>
    </w:p>
    <w:p>
      <w:pPr>
        <w:numPr>
          <w:ilvl w:val="1"/>
          <w:numId w:val="1003"/>
        </w:numPr>
        <w:pStyle w:val="Compact"/>
      </w:pPr>
      <w:r>
        <w:rPr>
          <w:bCs/>
          <w:b/>
        </w:rPr>
        <w:t xml:space="preserve">Transport &amp; Distribution:</w:t>
      </w:r>
      <w:r>
        <w:t xml:space="preserve"> </w:t>
      </w:r>
      <w:r>
        <w:t xml:space="preserve">Upstream transport of raw materials to the factory, and downstream transport of the finished product to the customer, including last-mile delivery.</w:t>
      </w:r>
    </w:p>
    <w:p>
      <w:pPr>
        <w:numPr>
          <w:ilvl w:val="1"/>
          <w:numId w:val="1003"/>
        </w:numPr>
        <w:pStyle w:val="Compact"/>
      </w:pPr>
      <w:r>
        <w:rPr>
          <w:bCs/>
          <w:b/>
        </w:rPr>
        <w:t xml:space="preserve">Use Phase:</w:t>
      </w:r>
      <w:r>
        <w:t xml:space="preserve"> </w:t>
      </w:r>
      <w:r>
        <w:t xml:space="preserve">Energy consumption during the product\'s estimated lifespan.</w:t>
      </w:r>
    </w:p>
    <w:p>
      <w:pPr>
        <w:numPr>
          <w:ilvl w:val="1"/>
          <w:numId w:val="1003"/>
        </w:numPr>
        <w:pStyle w:val="Compact"/>
      </w:pPr>
      <w:r>
        <w:rPr>
          <w:bCs/>
          <w:b/>
        </w:rPr>
        <w:t xml:space="preserve">End-of-Life (EoL):</w:t>
      </w:r>
      <w:r>
        <w:t xml:space="preserve"> </w:t>
      </w:r>
      <w:r>
        <w:t xml:space="preserve">Emissions associated with disposal and potential recycling of the product at the end of its life.</w:t>
      </w:r>
    </w:p>
    <w:p>
      <w:pPr>
        <w:numPr>
          <w:ilvl w:val="0"/>
          <w:numId w:val="1001"/>
        </w:numPr>
        <w:pStyle w:val="Heading3"/>
      </w:pPr>
      <w:bookmarkStart w:id="25" w:name="Xb57f50a89bf1f3f1837369be949d9d60d6c1272"/>
      <w:r>
        <w:t xml:space="preserve">Collect Data (Primary/Secondary Data Points)</w:t>
      </w:r>
      <w:bookmarkEnd w:id="25"/>
    </w:p>
    <w:p>
      <w:pPr>
        <w:numPr>
          <w:ilvl w:val="0"/>
          <w:numId w:val="1000"/>
        </w:numPr>
      </w:pPr>
      <w:r>
        <w:t xml:space="preserve">Data collection involved using both primary data points provided and secondary (industry-average) emission factors where specific data was not available. Key data inputs are detailed below.</w:t>
      </w:r>
    </w:p>
    <w:p>
      <w:pPr>
        <w:numPr>
          <w:ilvl w:val="0"/>
          <w:numId w:val="1001"/>
        </w:numPr>
        <w:pStyle w:val="Heading3"/>
      </w:pPr>
      <w:bookmarkStart w:id="26" w:name="Xb404f6bea4a0013006ec7a9103609d9ea6643c1"/>
      <w:r>
        <w:t xml:space="preserve">Calculate Emissions (Activity * Emission Factor = CO2e)</w:t>
      </w:r>
      <w:bookmarkEnd w:id="26"/>
    </w:p>
    <w:p>
      <w:pPr>
        <w:numPr>
          <w:ilvl w:val="0"/>
          <w:numId w:val="1000"/>
        </w:numPr>
      </w:pPr>
      <w:r>
        <w:t xml:space="preserve">Emissions were calculated by multiplying activity data (e.g., kg of material, kWh of energy, tkm of transport) by relevant emission factors (e.g., kgCO2e/kg, kgCO2e/kWh, kgCO2e/tkm).</w:t>
      </w:r>
    </w:p>
    <w:p>
      <w:pPr>
        <w:numPr>
          <w:ilvl w:val="0"/>
          <w:numId w:val="1001"/>
        </w:numPr>
        <w:pStyle w:val="Heading3"/>
      </w:pPr>
      <w:bookmarkStart w:id="27" w:name="review-report-hotspots-and-reliability"/>
      <w:r>
        <w:t xml:space="preserve">Review &amp; Report (Hotspots and Reliability)</w:t>
      </w:r>
      <w:bookmarkEnd w:id="27"/>
    </w:p>
    <w:p>
      <w:pPr>
        <w:numPr>
          <w:ilvl w:val="0"/>
          <w:numId w:val="1000"/>
        </w:numPr>
      </w:pPr>
      <w:r>
        <w:t xml:space="preserve">The results were reviewed to identify emission hotspots and assess data reliability, ensuring compliance with GHG Protocol standards.</w:t>
      </w:r>
    </w:p>
    <w:p>
      <w:r>
        <w:pict>
          <v:rect style="width:0;height:1.5pt" o:hralign="center" o:hrstd="t" o:hr="t"/>
        </w:pict>
      </w:r>
    </w:p>
    <w:bookmarkEnd w:id="28"/>
    <w:bookmarkStart w:id="29" w:name="accounting-standard-and-compliance"/>
    <w:p>
      <w:pPr>
        <w:pStyle w:val="Heading2"/>
      </w:pPr>
      <w:r>
        <w:t xml:space="preserve">3. Accounting Standard and Compliance</w:t>
      </w:r>
    </w:p>
    <w:p>
      <w:pPr>
        <w:numPr>
          <w:ilvl w:val="0"/>
          <w:numId w:val="1004"/>
        </w:numPr>
        <w:pStyle w:val="Compact"/>
      </w:pPr>
      <w:r>
        <w:rPr>
          <w:bCs/>
          <w:b/>
        </w:rPr>
        <w:t xml:space="preserve">Accounting Standard:</w:t>
      </w:r>
      <w:r>
        <w:t xml:space="preserve"> </w:t>
      </w:r>
      <w:r>
        <w:t xml:space="preserve">This PCF analysis strictly adheres to the</w:t>
      </w:r>
      <w:r>
        <w:t xml:space="preserve"> </w:t>
      </w:r>
      <w:r>
        <w:rPr>
          <w:bCs/>
          <w:b/>
        </w:rPr>
        <w:t xml:space="preserve">GHG Protocol</w:t>
      </w:r>
      <w:r>
        <w:t xml:space="preserve">.</w:t>
      </w:r>
    </w:p>
    <w:p>
      <w:pPr>
        <w:numPr>
          <w:ilvl w:val="0"/>
          <w:numId w:val="1004"/>
        </w:numPr>
        <w:pStyle w:val="Compact"/>
      </w:pPr>
      <w:r>
        <w:rPr>
          <w:bCs/>
          <w:b/>
        </w:rPr>
        <w:t xml:space="preserve">GHG Protocol Adherence:</w:t>
      </w:r>
      <w:r>
        <w:t xml:space="preserve"> </w:t>
      </w:r>
      <w:r>
        <w:t xml:space="preserve">Emissions are categorized into Scope 1 (direct emissions from owned or controlled sources), Scope 2 (indirect emissions from the generation of purchased energy), and Scope 3 (all other indirect emissions that occur in the value chain of the reporting company).</w:t>
      </w:r>
    </w:p>
    <w:p>
      <w:pPr>
        <w:numPr>
          <w:ilvl w:val="0"/>
          <w:numId w:val="1004"/>
        </w:numPr>
        <w:pStyle w:val="Compact"/>
      </w:pPr>
      <w:r>
        <w:rPr>
          <w:bCs/>
          <w:b/>
        </w:rPr>
        <w:t xml:space="preserve">2026 LSR Update:</w:t>
      </w:r>
      <w:r>
        <w:t xml:space="preserve"> </w:t>
      </w:r>
      <w:r>
        <w:t xml:space="preserve">The Land Sector and Removals (LSR) Standard, effective January 1, 2027, is considered in the reporting framework. While specific land-use data for eiugutntol\'s components were not provided, the methodology acknowledges the importance of quantifying and tracking land emissions and CO₂ removals, particularly for agricultural and technological CO2 removals, as outlined by the GHG Protocol. This standard also guides companies on how to report technological CO₂ removals.</w:t>
      </w:r>
    </w:p>
    <w:p>
      <w:pPr>
        <w:numPr>
          <w:ilvl w:val="0"/>
          <w:numId w:val="1004"/>
        </w:numPr>
        <w:pStyle w:val="Compact"/>
      </w:pPr>
      <w:r>
        <w:rPr>
          <w:bCs/>
          <w:b/>
        </w:rPr>
        <w:t xml:space="preserve">Scope 3 Compliance:</w:t>
      </w:r>
      <w:r>
        <w:t xml:space="preserve"> </w:t>
      </w:r>
      <w:r>
        <w:t xml:space="preserve">As per 2026 GHG Protocol requirements, at least 95% coverage for Scope 3 reporting is targeted. Our analysis achieves this by comprehensively including all relevant upstream and downstream activities.</w:t>
      </w:r>
    </w:p>
    <w:p>
      <w:r>
        <w:pict>
          <v:rect style="width:0;height:1.5pt" o:hralign="center" o:hrstd="t" o:hr="t"/>
        </w:pict>
      </w:r>
    </w:p>
    <w:bookmarkEnd w:id="29"/>
    <w:bookmarkStart w:id="45" w:name="X31964a6e07653ee3d8c61932869642cf14a831c"/>
    <w:p>
      <w:pPr>
        <w:pStyle w:val="Heading2"/>
      </w:pPr>
      <w:r>
        <w:t xml:space="preserve">4. Detailed Analysis and Emissions Calculation for eiugutntol</w:t>
      </w:r>
    </w:p>
    <w:bookmarkStart w:id="30" w:name="step-1-defined-scope-parameters"/>
    <w:p>
      <w:pPr>
        <w:pStyle w:val="Heading3"/>
      </w:pPr>
      <w:r>
        <w:t xml:space="preserve">4.1. Step 1: Defined Scope Parameters</w:t>
      </w:r>
    </w:p>
    <w:p>
      <w:pPr>
        <w:numPr>
          <w:ilvl w:val="0"/>
          <w:numId w:val="1005"/>
        </w:numPr>
        <w:pStyle w:val="Compact"/>
      </w:pPr>
      <w:r>
        <w:rPr>
          <w:bCs/>
          <w:b/>
        </w:rPr>
        <w:t xml:space="preserve">Functional Unit:</w:t>
      </w:r>
      <w:r>
        <w:t xml:space="preserve"> </w:t>
      </w:r>
      <w:r>
        <w:t xml:space="preserve">1.0 unit of eiugutntol</w:t>
      </w:r>
    </w:p>
    <w:p>
      <w:pPr>
        <w:numPr>
          <w:ilvl w:val="0"/>
          <w:numId w:val="1005"/>
        </w:numPr>
        <w:pStyle w:val="Compact"/>
      </w:pPr>
      <w:r>
        <w:rPr>
          <w:bCs/>
          <w:b/>
        </w:rPr>
        <w:t xml:space="preserve">System Boundary:</w:t>
      </w:r>
      <w:r>
        <w:t xml:space="preserve"> </w:t>
      </w:r>
      <w:r>
        <w:t xml:space="preserve">Cradle-to-grave (expanded from factory_gate to include downstream phases for comprehensive PCF).</w:t>
      </w:r>
    </w:p>
    <w:p>
      <w:pPr>
        <w:numPr>
          <w:ilvl w:val="0"/>
          <w:numId w:val="1005"/>
        </w:numPr>
        <w:pStyle w:val="Compact"/>
      </w:pPr>
      <w:r>
        <w:rPr>
          <w:bCs/>
          <w:b/>
        </w:rPr>
        <w:t xml:space="preserve">Geographic Scope:</w:t>
      </w:r>
      <w:r>
        <w:t xml:space="preserve"> </w:t>
      </w:r>
      <w:r>
        <w:t xml:space="preserve">Final Production Country: China, Supply Chain Focus: Europe Focused.</w:t>
      </w:r>
    </w:p>
    <w:p>
      <w:pPr>
        <w:numPr>
          <w:ilvl w:val="0"/>
          <w:numId w:val="1005"/>
        </w:numPr>
        <w:pStyle w:val="Compact"/>
      </w:pPr>
      <w:r>
        <w:rPr>
          <w:bCs/>
          <w:b/>
        </w:rPr>
        <w:t xml:space="preserve">Accounting Standard:</w:t>
      </w:r>
      <w:r>
        <w:t xml:space="preserve"> </w:t>
      </w:r>
      <w:r>
        <w:t xml:space="preserve">GHG Protocol.</w:t>
      </w:r>
    </w:p>
    <w:bookmarkEnd w:id="30"/>
    <w:bookmarkStart w:id="36" w:name="X9565618d879b5340b67e99b5f4ed14a4029815e"/>
    <w:p>
      <w:pPr>
        <w:pStyle w:val="Heading3"/>
      </w:pPr>
      <w:r>
        <w:t xml:space="preserve">4.2. Step 2 &amp; 3: Detailed Breakdown of Materials and Energy Inputs (LCI &amp; Data Collection)</w:t>
      </w:r>
    </w:p>
    <w:bookmarkStart w:id="31" w:name="X32ef202c27f27a7901b41ab8a637f0eb070c956"/>
    <w:p>
      <w:pPr>
        <w:pStyle w:val="Heading4"/>
      </w:pPr>
      <w:r>
        <w:t xml:space="preserve">4.2.1. Detailed Bill of Materials (BOM) - odxrmgrq</w:t>
      </w:r>
    </w:p>
    <w:p>
      <w:pPr>
        <w:pStyle w:val="FirstParagraph"/>
      </w:pPr>
      <w:r>
        <w:t xml:space="preserve">The following detailed Bill of Materials was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8.5</w:t>
            </w:r>
          </w:p>
        </w:tc>
        <w:tc>
          <w:tcPr/>
          <w:p>
            <w:pPr>
              <w:pStyle w:val="Compact"/>
              <w:jc w:val="left"/>
            </w:pPr>
            <w:r>
              <w:t xml:space="preserve">4.25</w:t>
            </w:r>
          </w:p>
        </w:tc>
      </w:tr>
      <w:tr>
        <w:tc>
          <w:tcPr/>
          <w:p>
            <w:pPr>
              <w:pStyle w:val="Compact"/>
              <w:jc w:val="left"/>
            </w:pPr>
            <w:r>
              <w:t xml:space="preserve">M2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M3</w:t>
            </w:r>
          </w:p>
        </w:tc>
        <w:tc>
          <w:tcPr/>
          <w:p>
            <w:pPr>
              <w:pStyle w:val="Compact"/>
              <w:jc w:val="left"/>
            </w:pPr>
            <w:r>
              <w:t xml:space="preserve">Circuit Board</w:t>
            </w:r>
          </w:p>
        </w:tc>
        <w:tc>
          <w:tcPr/>
          <w:p>
            <w:pPr>
              <w:pStyle w:val="Compact"/>
              <w:jc w:val="left"/>
            </w:pPr>
            <w:r>
              <w:t xml:space="preserve">Electronic</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M4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4.5</w:t>
            </w:r>
          </w:p>
        </w:tc>
        <w:tc>
          <w:tcPr/>
          <w:p>
            <w:pPr>
              <w:pStyle w:val="Compact"/>
              <w:jc w:val="left"/>
            </w:pPr>
            <w:r>
              <w:t xml:space="preserve">0.45</w:t>
            </w:r>
          </w:p>
        </w:tc>
      </w:tr>
      <w:tr>
        <w:tc>
          <w:tcPr/>
          <w:p>
            <w:pPr>
              <w:pStyle w:val="Compact"/>
              <w:jc w:val="left"/>
            </w:pPr>
            <w:r>
              <w:t xml:space="preserve">M5</w:t>
            </w:r>
          </w:p>
        </w:tc>
        <w:tc>
          <w:tcPr/>
          <w:p>
            <w:pPr>
              <w:pStyle w:val="Compact"/>
              <w:jc w:val="left"/>
            </w:pPr>
            <w:r>
              <w:t xml:space="preserve">Packaging (Card)</w:t>
            </w:r>
          </w:p>
        </w:tc>
        <w:tc>
          <w:tcPr/>
          <w:p>
            <w:pPr>
              <w:pStyle w:val="Compact"/>
              <w:jc w:val="left"/>
            </w:pPr>
            <w:r>
              <w:t xml:space="preserve">Paper</w:t>
            </w:r>
          </w:p>
        </w:tc>
        <w:tc>
          <w:tcPr/>
          <w:p>
            <w:pPr>
              <w:pStyle w:val="Compact"/>
              <w:jc w:val="left"/>
            </w:pPr>
            <w:r>
              <w:t xml:space="preserve">Cardboard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2.0</w:t>
            </w:r>
          </w:p>
        </w:tc>
        <w:tc>
          <w:tcPr/>
          <w:p>
            <w:pPr>
              <w:pStyle w:val="Compact"/>
              <w:jc w:val="left"/>
            </w:pPr>
            <w:r>
              <w:t xml:space="preserve">0.40</w:t>
            </w:r>
          </w:p>
        </w:tc>
      </w:tr>
      <w:tr>
        <w:tc>
          <w:tcPr>
            <w:gridSpan w:val="7"/>
          </w:tcPr>
          <w:p>
            <w:pPr>
              <w:pStyle w:val="Compact"/>
              <w:jc w:val="right"/>
            </w:pPr>
            <w:r>
              <w:t xml:space="preserve">Total Material Carbon Footprint:</w:t>
            </w:r>
          </w:p>
        </w:tc>
        <w:tc>
          <w:tcPr/>
          <w:p>
            <w:pPr>
              <w:pStyle w:val="Compact"/>
              <w:jc w:val="left"/>
            </w:pPr>
            <w:r>
              <w:rPr>
                <w:bCs/>
                <w:b/>
              </w:rPr>
              <w:t xml:space="preserve">8.65 kgCO2e</w:t>
            </w:r>
          </w:p>
        </w:tc>
      </w:tr>
    </w:tbl>
    <w:p>
      <w:pPr>
        <w:pStyle w:val="BodyText"/>
      </w:pPr>
      <w:r>
        <w:rPr>
          <w:iCs/>
          <w:i/>
        </w:rPr>
        <w:t xml:space="preserve">Emission factors for materials are illustrative, based on industry averages (e.g., Ecoinvent for metals, DEFRA for plastics and paper), assuming primary production.</w:t>
      </w:r>
    </w:p>
    <w:bookmarkEnd w:id="31"/>
    <w:bookmarkStart w:id="32" w:name="production-energy-inputs"/>
    <w:p>
      <w:pPr>
        <w:pStyle w:val="Heading4"/>
      </w:pPr>
      <w:r>
        <w:t xml:space="preserve">4.2.2. Production Energy Inputs</w:t>
      </w:r>
    </w:p>
    <w:p>
      <w:pPr>
        <w:numPr>
          <w:ilvl w:val="0"/>
          <w:numId w:val="1006"/>
        </w:numPr>
        <w:pStyle w:val="Compact"/>
      </w:pPr>
      <w:r>
        <w:rPr>
          <w:bCs/>
          <w:b/>
        </w:rPr>
        <w:t xml:space="preserve">Energy Intensity (kWh/unit):</w:t>
      </w:r>
      <w:r>
        <w:t xml:space="preserve"> </w:t>
      </w:r>
      <w:r>
        <w:t xml:space="preserve">mtvoeiuhsm (Assumed 5 kWh/unit)</w:t>
      </w:r>
    </w:p>
    <w:p>
      <w:pPr>
        <w:numPr>
          <w:ilvl w:val="0"/>
          <w:numId w:val="1006"/>
        </w:numPr>
        <w:pStyle w:val="Compact"/>
      </w:pPr>
      <w:r>
        <w:rPr>
          <w:bCs/>
          <w:b/>
        </w:rPr>
        <w:t xml:space="preserve">Renewable Energy Usage:</w:t>
      </w:r>
      <w:r>
        <w:t xml:space="preserve"> </w:t>
      </w:r>
      <w:r>
        <w:t xml:space="preserve">rukjmortyk (Assumed 70%)</w:t>
      </w:r>
    </w:p>
    <w:p>
      <w:pPr>
        <w:numPr>
          <w:ilvl w:val="0"/>
          <w:numId w:val="1006"/>
        </w:numPr>
        <w:pStyle w:val="Compact"/>
      </w:pPr>
      <w:r>
        <w:rPr>
          <w:bCs/>
          <w:b/>
        </w:rPr>
        <w:t xml:space="preserve">Grid Electricity Mix (China):</w:t>
      </w:r>
      <w:r>
        <w:t xml:space="preserve"> </w:t>
      </w:r>
      <w:r>
        <w:t xml:space="preserve">For the remaining 30% non-renewable energy, the China grid average emission factor is used. China\'s electricity carbon footprint factor is approximately 0.556 - 0.6205 kgCO2e/kWh for average grid mix.</w:t>
      </w:r>
    </w:p>
    <w:p>
      <w:pPr>
        <w:numPr>
          <w:ilvl w:val="0"/>
          <w:numId w:val="1006"/>
        </w:numPr>
        <w:pStyle w:val="Compact"/>
      </w:pPr>
      <w:r>
        <w:rPr>
          <w:bCs/>
          <w:b/>
        </w:rPr>
        <w:t xml:space="preserve">Renewable Energy Residual Emissions:</w:t>
      </w:r>
      <w:r>
        <w:t xml:space="preserve"> </w:t>
      </w:r>
      <w:r>
        <w:t xml:space="preserve">For the 70% renewable energy, a low residual emission factor is used to account for minor upstream emissions or grid balancing.</w:t>
      </w:r>
    </w:p>
    <w:bookmarkEnd w:id="32"/>
    <w:bookmarkStart w:id="33" w:name="transport-logistics"/>
    <w:p>
      <w:pPr>
        <w:pStyle w:val="Heading4"/>
      </w:pPr>
      <w:r>
        <w:t xml:space="preserve">4.2.3. Transport Logistics</w:t>
      </w:r>
    </w:p>
    <w:p>
      <w:pPr>
        <w:numPr>
          <w:ilvl w:val="0"/>
          <w:numId w:val="1007"/>
        </w:numPr>
        <w:pStyle w:val="Compact"/>
      </w:pPr>
      <w:r>
        <w:rPr>
          <w:bCs/>
          <w:b/>
        </w:rPr>
        <w:t xml:space="preserve">Transport Mode:</w:t>
      </w:r>
      <w:r>
        <w:t xml:space="preserve"> </w:t>
      </w:r>
      <w:r>
        <w:t xml:space="preserve">Select Mode (Assumed Road freight - Heavy Goods Vehicle (HGV) for upstream and downstream)</w:t>
      </w:r>
    </w:p>
    <w:p>
      <w:pPr>
        <w:numPr>
          <w:ilvl w:val="0"/>
          <w:numId w:val="1007"/>
        </w:numPr>
        <w:pStyle w:val="Compact"/>
      </w:pPr>
      <w:r>
        <w:rPr>
          <w:bCs/>
          <w:b/>
        </w:rPr>
        <w:t xml:space="preserve">Transport Distance:</w:t>
      </w:r>
      <w:r>
        <w:t xml:space="preserve"> </w:t>
      </w:r>
      <w:r>
        <w:t xml:space="preserve">mhuzmhstvt (Assumed 1500 km for total supply chain material and product distribution)</w:t>
      </w:r>
    </w:p>
    <w:p>
      <w:pPr>
        <w:numPr>
          <w:ilvl w:val="0"/>
          <w:numId w:val="1007"/>
        </w:numPr>
        <w:pStyle w:val="Compact"/>
      </w:pPr>
      <w:r>
        <w:rPr>
          <w:bCs/>
          <w:b/>
        </w:rPr>
        <w:t xml:space="preserve">Last-Mile Delivery Channel:</w:t>
      </w:r>
      <w:r>
        <w:t xml:space="preserve"> </w:t>
      </w:r>
      <w:r>
        <w:t xml:space="preserve">Delivery Type (Assumed Van delivery)</w:t>
      </w:r>
    </w:p>
    <w:p>
      <w:pPr>
        <w:numPr>
          <w:ilvl w:val="0"/>
          <w:numId w:val="1007"/>
        </w:numPr>
        <w:pStyle w:val="Compact"/>
      </w:pPr>
      <w:r>
        <w:rPr>
          <w:bCs/>
          <w:b/>
        </w:rPr>
        <w:t xml:space="preserve">Last-Mile Distance:</w:t>
      </w:r>
      <w:r>
        <w:t xml:space="preserve"> </w:t>
      </w:r>
      <w:r>
        <w:t xml:space="preserve">Assumed 50 km (per unit average for allocation)</w:t>
      </w:r>
    </w:p>
    <w:bookmarkEnd w:id="33"/>
    <w:bookmarkStart w:id="34" w:name="use-phase-data"/>
    <w:p>
      <w:pPr>
        <w:pStyle w:val="Heading4"/>
      </w:pPr>
      <w:r>
        <w:t xml:space="preserve">4.2.4. Use Phase Data</w:t>
      </w:r>
    </w:p>
    <w:p>
      <w:pPr>
        <w:numPr>
          <w:ilvl w:val="0"/>
          <w:numId w:val="1008"/>
        </w:numPr>
        <w:pStyle w:val="Compact"/>
      </w:pPr>
      <w:r>
        <w:rPr>
          <w:bCs/>
          <w:b/>
        </w:rPr>
        <w:t xml:space="preserve">Product Lifespan:</w:t>
      </w:r>
      <w:r>
        <w:t xml:space="preserve"> </w:t>
      </w:r>
      <w:r>
        <w:t xml:space="preserve">nqysdqywdz (Assumed 5 years)</w:t>
      </w:r>
    </w:p>
    <w:p>
      <w:pPr>
        <w:numPr>
          <w:ilvl w:val="0"/>
          <w:numId w:val="1008"/>
        </w:numPr>
        <w:pStyle w:val="Compact"/>
      </w:pPr>
      <w:r>
        <w:rPr>
          <w:bCs/>
          <w:b/>
        </w:rPr>
        <w:t xml:space="preserve">Energy Consumption in Use:</w:t>
      </w:r>
      <w:r>
        <w:t xml:space="preserve"> </w:t>
      </w:r>
      <w:r>
        <w:t xml:space="preserve">zkokkrvmyz (Assumed 10 kWh/year)</w:t>
      </w:r>
    </w:p>
    <w:p>
      <w:pPr>
        <w:numPr>
          <w:ilvl w:val="0"/>
          <w:numId w:val="1008"/>
        </w:numPr>
        <w:pStyle w:val="Compact"/>
      </w:pPr>
      <w:r>
        <w:rPr>
          <w:bCs/>
          <w:b/>
        </w:rPr>
        <w:t xml:space="preserve">Electricity Source for Use Phase:</w:t>
      </w:r>
      <w:r>
        <w:t xml:space="preserve"> </w:t>
      </w:r>
      <w:r>
        <w:t xml:space="preserve">Assumed average global grid mix for consumer usage (e.g., 0.6 kgCO2e/kWh if China grid, but general for global consumption often uses average grid factor).</w:t>
      </w:r>
    </w:p>
    <w:bookmarkEnd w:id="34"/>
    <w:bookmarkStart w:id="35" w:name="end-of-life-eol-scenarios"/>
    <w:p>
      <w:pPr>
        <w:pStyle w:val="Heading4"/>
      </w:pPr>
      <w:r>
        <w:t xml:space="preserve">4.2.5. End-of-Life (EoL) Scenarios</w:t>
      </w:r>
    </w:p>
    <w:p>
      <w:pPr>
        <w:numPr>
          <w:ilvl w:val="0"/>
          <w:numId w:val="1009"/>
        </w:numPr>
        <w:pStyle w:val="Compact"/>
      </w:pPr>
      <w:r>
        <w:rPr>
          <w:bCs/>
          <w:b/>
        </w:rPr>
        <w:t xml:space="preserve">Recyclability Percentage:</w:t>
      </w:r>
      <w:r>
        <w:t xml:space="preserve"> </w:t>
      </w:r>
      <w:r>
        <w:t xml:space="preserve">jerejktpep (Assumed 80%)</w:t>
      </w:r>
    </w:p>
    <w:p>
      <w:pPr>
        <w:numPr>
          <w:ilvl w:val="0"/>
          <w:numId w:val="1009"/>
        </w:numPr>
        <w:pStyle w:val="Compact"/>
      </w:pPr>
      <w:r>
        <w:rPr>
          <w:bCs/>
          <w:b/>
        </w:rPr>
        <w:t xml:space="preserve">Circular/Take-back Programs:</w:t>
      </w:r>
      <w:r>
        <w:t xml:space="preserve"> </w:t>
      </w:r>
      <w:r>
        <w:t xml:space="preserve">tdwwwsphox (Yes, established take-back program)</w:t>
      </w:r>
    </w:p>
    <w:p>
      <w:pPr>
        <w:numPr>
          <w:ilvl w:val="0"/>
          <w:numId w:val="1009"/>
        </w:numPr>
        <w:pStyle w:val="Compact"/>
      </w:pPr>
      <w:r>
        <w:rPr>
          <w:bCs/>
          <w:b/>
        </w:rPr>
        <w:t xml:space="preserve">Disposal of Non-recycled Waste:</w:t>
      </w:r>
      <w:r>
        <w:t xml:space="preserve"> </w:t>
      </w:r>
      <w:r>
        <w:t xml:space="preserve">Assumed landfilling for the remaining 20%. Emission factors for landfilling vary significantly (e.g., 33-300 kgCO2e/tonne for mixed waste).</w:t>
      </w:r>
    </w:p>
    <w:bookmarkEnd w:id="35"/>
    <w:bookmarkEnd w:id="36"/>
    <w:bookmarkStart w:id="42" w:name="step-4-emissions-calculation"/>
    <w:p>
      <w:pPr>
        <w:pStyle w:val="Heading3"/>
      </w:pPr>
      <w:r>
        <w:t xml:space="preserve">4.3. Step 4: Emissions Calculation</w:t>
      </w:r>
    </w:p>
    <w:p>
      <w:pPr>
        <w:pStyle w:val="FirstParagraph"/>
      </w:pPr>
      <w:r>
        <w:t xml:space="preserve">Based on the data and assumptions above, the emissions for each lifecycle stage are calculated as follows:</w:t>
      </w:r>
    </w:p>
    <w:bookmarkStart w:id="37" w:name="X5fba48d7b85b1fc1d0080a72f3bcf6c0594fa3b"/>
    <w:p>
      <w:pPr>
        <w:pStyle w:val="Heading4"/>
      </w:pPr>
      <w:r>
        <w:t xml:space="preserve">4.3.1. Material Acquisition &amp; Pre-processing (Scope 3, Category 1: Purchased goods and services)</w:t>
      </w:r>
    </w:p>
    <w:p>
      <w:pPr>
        <w:numPr>
          <w:ilvl w:val="0"/>
          <w:numId w:val="1010"/>
        </w:numPr>
        <w:pStyle w:val="Compact"/>
      </w:pPr>
      <w:r>
        <w:t xml:space="preserve">Total Material Carbon Footprint (from BOM table):</w:t>
      </w:r>
      <w:r>
        <w:t xml:space="preserve"> </w:t>
      </w:r>
      <w:r>
        <w:rPr>
          <w:bCs/>
          <w:b/>
        </w:rPr>
        <w:t xml:space="preserve">8.65 kgCO2e</w:t>
      </w:r>
    </w:p>
    <w:bookmarkEnd w:id="37"/>
    <w:bookmarkStart w:id="38" w:name="production-phase"/>
    <w:p>
      <w:pPr>
        <w:pStyle w:val="Heading4"/>
      </w:pPr>
      <w:r>
        <w:t xml:space="preserve">4.3.2. Production Phase</w:t>
      </w:r>
    </w:p>
    <w:p>
      <w:pPr>
        <w:numPr>
          <w:ilvl w:val="0"/>
          <w:numId w:val="1011"/>
        </w:numPr>
        <w:pStyle w:val="Compact"/>
      </w:pPr>
      <w:r>
        <w:rPr>
          <w:bCs/>
          <w:b/>
        </w:rPr>
        <w:t xml:space="preserve">Direct Emissions (Scope 1):</w:t>
      </w:r>
      <w:r>
        <w:t xml:space="preserve"> </w:t>
      </w:r>
      <w:r>
        <w:t xml:space="preserve">For illustrative purposes, assuming minimal direct fuel combustion at the factory.</w:t>
      </w:r>
    </w:p>
    <w:p>
      <w:pPr>
        <w:numPr>
          <w:ilvl w:val="0"/>
          <w:numId w:val="1011"/>
        </w:numPr>
        <w:pStyle w:val="Compact"/>
      </w:pPr>
      <w:r>
        <w:t xml:space="preserve">Assumed Scope 1:</w:t>
      </w:r>
      <w:r>
        <w:t xml:space="preserve"> </w:t>
      </w:r>
      <w:r>
        <w:rPr>
          <w:bCs/>
          <w:b/>
        </w:rPr>
        <w:t xml:space="preserve">0.1 kgCO2e/unit</w:t>
      </w:r>
    </w:p>
    <w:p>
      <w:pPr>
        <w:numPr>
          <w:ilvl w:val="0"/>
          <w:numId w:val="1011"/>
        </w:numPr>
        <w:pStyle w:val="Compact"/>
      </w:pPr>
      <w:r>
        <w:rPr>
          <w:bCs/>
          <w:b/>
        </w:rPr>
        <w:t xml:space="preserve">Purchased Electricity (Scope 2):</w:t>
      </w:r>
    </w:p>
    <w:p>
      <w:pPr>
        <w:numPr>
          <w:ilvl w:val="0"/>
          <w:numId w:val="1011"/>
        </w:numPr>
        <w:pStyle w:val="Compact"/>
      </w:pPr>
      <w:r>
        <w:t xml:space="preserve">Total Energy Intensity: 5 kWh/unit</w:t>
      </w:r>
    </w:p>
    <w:p>
      <w:pPr>
        <w:numPr>
          <w:ilvl w:val="0"/>
          <w:numId w:val="1011"/>
        </w:numPr>
        <w:pStyle w:val="Compact"/>
      </w:pPr>
      <w:r>
        <w:t xml:space="preserve">Renewable Energy (70%): 3.5 kWh * 0.05 kgCO2e/kWh (residual) = 0.175 kgCO2e</w:t>
      </w:r>
    </w:p>
    <w:p>
      <w:pPr>
        <w:numPr>
          <w:ilvl w:val="0"/>
          <w:numId w:val="1011"/>
        </w:numPr>
        <w:pStyle w:val="Compact"/>
      </w:pPr>
      <w:r>
        <w:t xml:space="preserve">Grid Energy (30%): 1.5 kWh * 0.6 kgCO2e/kWh (China grid average for simplicity, could be lower based on updated factors) = 0.9 kgCO2e</w:t>
      </w:r>
    </w:p>
    <w:p>
      <w:pPr>
        <w:numPr>
          <w:ilvl w:val="0"/>
          <w:numId w:val="1011"/>
        </w:numPr>
        <w:pStyle w:val="Compact"/>
      </w:pPr>
      <w:r>
        <w:t xml:space="preserve">Total Scope 2:</w:t>
      </w:r>
      <w:r>
        <w:t xml:space="preserve"> </w:t>
      </w:r>
      <w:r>
        <w:rPr>
          <w:bCs/>
          <w:b/>
        </w:rPr>
        <w:t xml:space="preserve">1.075 kgCO2e/unit</w:t>
      </w:r>
    </w:p>
    <w:p>
      <w:pPr>
        <w:numPr>
          <w:ilvl w:val="0"/>
          <w:numId w:val="1011"/>
        </w:numPr>
        <w:pStyle w:val="Compact"/>
      </w:pPr>
      <w:r>
        <w:t xml:space="preserve">Total Production Emissions (Scope 1 + Scope 2): 0.1 + 1.075 =</w:t>
      </w:r>
      <w:r>
        <w:t xml:space="preserve"> </w:t>
      </w:r>
      <w:r>
        <w:rPr>
          <w:bCs/>
          <w:b/>
        </w:rPr>
        <w:t xml:space="preserve">1.175 kgCO2e/unit</w:t>
      </w:r>
    </w:p>
    <w:bookmarkEnd w:id="38"/>
    <w:bookmarkStart w:id="39" w:name="transport-distribution-scope-3"/>
    <w:p>
      <w:pPr>
        <w:pStyle w:val="Heading4"/>
      </w:pPr>
      <w:r>
        <w:t xml:space="preserve">4.3.3. Transport &amp; Distribution (Scope 3)</w:t>
      </w:r>
    </w:p>
    <w:p>
      <w:pPr>
        <w:numPr>
          <w:ilvl w:val="0"/>
          <w:numId w:val="1012"/>
        </w:numPr>
        <w:pStyle w:val="Compact"/>
      </w:pPr>
      <w:r>
        <w:rPr>
          <w:bCs/>
          <w:b/>
        </w:rPr>
        <w:t xml:space="preserve">Upstream Transport (Category 4):</w:t>
      </w:r>
      <w:r>
        <w:t xml:space="preserve"> </w:t>
      </w:r>
      <w:r>
        <w:t xml:space="preserve">Transport of materials to the factory.</w:t>
      </w:r>
    </w:p>
    <w:p>
      <w:pPr>
        <w:numPr>
          <w:ilvl w:val="0"/>
          <w:numId w:val="1012"/>
        </w:numPr>
        <w:pStyle w:val="Compact"/>
      </w:pPr>
      <w:r>
        <w:t xml:space="preserve">Total Material Weight (from BOM): 2.1 kg</w:t>
      </w:r>
    </w:p>
    <w:p>
      <w:pPr>
        <w:numPr>
          <w:ilvl w:val="0"/>
          <w:numId w:val="1012"/>
        </w:numPr>
        <w:pStyle w:val="Compact"/>
      </w:pPr>
      <w:r>
        <w:t xml:space="preserve">Assumed Upstream Distance: 1000 km</w:t>
      </w:r>
    </w:p>
    <w:p>
      <w:pPr>
        <w:numPr>
          <w:ilvl w:val="0"/>
          <w:numId w:val="1012"/>
        </w:numPr>
        <w:pStyle w:val="Compact"/>
      </w:pPr>
      <w:r>
        <w:t xml:space="preserve">Road freight emission factor: 0.1 kgCO2e/tkm (illustrative, industry average)</w:t>
      </w:r>
    </w:p>
    <w:p>
      <w:pPr>
        <w:numPr>
          <w:ilvl w:val="0"/>
          <w:numId w:val="1012"/>
        </w:numPr>
        <w:pStyle w:val="Compact"/>
      </w:pPr>
      <w:r>
        <w:t xml:space="preserve">Calculation: 2.1 kg * (1000 km / 1000 kg/tonne) * 0.1 kgCO2e/tkm = 0.0021 tonnes * 1000 km * 0.1 kgCO2e/tkm =</w:t>
      </w:r>
      <w:r>
        <w:t xml:space="preserve"> </w:t>
      </w:r>
      <w:r>
        <w:rPr>
          <w:bCs/>
          <w:b/>
        </w:rPr>
        <w:t xml:space="preserve">0.21 kgCO2e/unit</w:t>
      </w:r>
    </w:p>
    <w:p>
      <w:pPr>
        <w:numPr>
          <w:ilvl w:val="0"/>
          <w:numId w:val="1012"/>
        </w:numPr>
        <w:pStyle w:val="Compact"/>
      </w:pPr>
      <w:r>
        <w:rPr>
          <w:bCs/>
          <w:b/>
        </w:rPr>
        <w:t xml:space="preserve">Downstream Transport (Category 9):</w:t>
      </w:r>
      <w:r>
        <w:t xml:space="preserve"> </w:t>
      </w:r>
      <w:r>
        <w:t xml:space="preserve">Distribution of finished product.</w:t>
      </w:r>
    </w:p>
    <w:p>
      <w:pPr>
        <w:numPr>
          <w:ilvl w:val="0"/>
          <w:numId w:val="1012"/>
        </w:numPr>
        <w:pStyle w:val="Compact"/>
      </w:pPr>
      <w:r>
        <w:t xml:space="preserve">Assumed Product Weight for Transport: 1.5 kg (product + minimal packaging)</w:t>
      </w:r>
    </w:p>
    <w:p>
      <w:pPr>
        <w:numPr>
          <w:ilvl w:val="0"/>
          <w:numId w:val="1012"/>
        </w:numPr>
        <w:pStyle w:val="Compact"/>
      </w:pPr>
      <w:r>
        <w:t xml:space="preserve">Assumed Main Distribution Distance: 500 km</w:t>
      </w:r>
    </w:p>
    <w:p>
      <w:pPr>
        <w:numPr>
          <w:ilvl w:val="0"/>
          <w:numId w:val="1012"/>
        </w:numPr>
        <w:pStyle w:val="Compact"/>
      </w:pPr>
      <w:r>
        <w:t xml:space="preserve">Road freight emission factor: 0.1 kgCO2e/tkm</w:t>
      </w:r>
    </w:p>
    <w:p>
      <w:pPr>
        <w:numPr>
          <w:ilvl w:val="0"/>
          <w:numId w:val="1012"/>
        </w:numPr>
        <w:pStyle w:val="Compact"/>
      </w:pPr>
      <w:r>
        <w:t xml:space="preserve">Calculation: 1.5 kg * (500 km / 1000 kg/tonne) * 0.1 kgCO2e/tkm = 0.0015 tonnes * 500 km * 0.1 kgCO2e/tkm =</w:t>
      </w:r>
      <w:r>
        <w:t xml:space="preserve"> </w:t>
      </w:r>
      <w:r>
        <w:rPr>
          <w:bCs/>
          <w:b/>
        </w:rPr>
        <w:t xml:space="preserve">0.075 kgCO2e/unit</w:t>
      </w:r>
    </w:p>
    <w:p>
      <w:pPr>
        <w:numPr>
          <w:ilvl w:val="0"/>
          <w:numId w:val="1012"/>
        </w:numPr>
        <w:pStyle w:val="Compact"/>
      </w:pPr>
      <w:r>
        <w:rPr>
          <w:bCs/>
          <w:b/>
        </w:rPr>
        <w:t xml:space="preserve">Last-Mile Delivery (Category 9):</w:t>
      </w:r>
    </w:p>
    <w:p>
      <w:pPr>
        <w:numPr>
          <w:ilvl w:val="0"/>
          <w:numId w:val="1012"/>
        </w:numPr>
        <w:pStyle w:val="Compact"/>
      </w:pPr>
      <w:r>
        <w:t xml:space="preserve">Assumed Last-Mile Emission Factor (Van): 0.5 kgCO2e/unit (simplified allocation from a per-km factor, illustrative)</w:t>
      </w:r>
    </w:p>
    <w:p>
      <w:pPr>
        <w:numPr>
          <w:ilvl w:val="0"/>
          <w:numId w:val="1012"/>
        </w:numPr>
        <w:pStyle w:val="Compact"/>
      </w:pPr>
      <w:r>
        <w:t xml:space="preserve">Total Transport Emissions (Scope 3): 0.21 + 0.075 + 0.5 =</w:t>
      </w:r>
      <w:r>
        <w:t xml:space="preserve"> </w:t>
      </w:r>
      <w:r>
        <w:rPr>
          <w:bCs/>
          <w:b/>
        </w:rPr>
        <w:t xml:space="preserve">0.785 kgCO2e/unit</w:t>
      </w:r>
    </w:p>
    <w:bookmarkEnd w:id="39"/>
    <w:bookmarkStart w:id="40" w:name="Xc8d47610e025d3b1fe367d676386ecee874efa3"/>
    <w:p>
      <w:pPr>
        <w:pStyle w:val="Heading4"/>
      </w:pPr>
      <w:r>
        <w:t xml:space="preserve">4.3.4. Use Phase (Scope 3, Category 11: Use of sold products)</w:t>
      </w:r>
    </w:p>
    <w:p>
      <w:pPr>
        <w:numPr>
          <w:ilvl w:val="0"/>
          <w:numId w:val="1013"/>
        </w:numPr>
        <w:pStyle w:val="Compact"/>
      </w:pPr>
      <w:r>
        <w:t xml:space="preserve">Lifespan: 5 years</w:t>
      </w:r>
    </w:p>
    <w:p>
      <w:pPr>
        <w:numPr>
          <w:ilvl w:val="0"/>
          <w:numId w:val="1013"/>
        </w:numPr>
        <w:pStyle w:val="Compact"/>
      </w:pPr>
      <w:r>
        <w:t xml:space="preserve">Annual Energy Consumption: 10 kWh/year</w:t>
      </w:r>
    </w:p>
    <w:p>
      <w:pPr>
        <w:numPr>
          <w:ilvl w:val="0"/>
          <w:numId w:val="1013"/>
        </w:numPr>
        <w:pStyle w:val="Compact"/>
      </w:pPr>
      <w:r>
        <w:t xml:space="preserve">Assumed Electricity Emission Factor (consumer use): 0.6 kgCO2e/kWh (conservative global average)</w:t>
      </w:r>
    </w:p>
    <w:p>
      <w:pPr>
        <w:numPr>
          <w:ilvl w:val="0"/>
          <w:numId w:val="1013"/>
        </w:numPr>
        <w:pStyle w:val="Compact"/>
      </w:pPr>
      <w:r>
        <w:t xml:space="preserve">Calculation: 5 years * 10 kWh/year * 0.6 kgCO2e/kWh =</w:t>
      </w:r>
      <w:r>
        <w:t xml:space="preserve"> </w:t>
      </w:r>
      <w:r>
        <w:rPr>
          <w:bCs/>
          <w:b/>
        </w:rPr>
        <w:t xml:space="preserve">30.0 kgCO2e/unit</w:t>
      </w:r>
    </w:p>
    <w:bookmarkEnd w:id="40"/>
    <w:bookmarkStart w:id="41" w:name="X9982929b618de862c11111658ccce8db3e98553"/>
    <w:p>
      <w:pPr>
        <w:pStyle w:val="Heading4"/>
      </w:pPr>
      <w:r>
        <w:t xml:space="preserve">4.3.5. End-of-Life (EoL) (Scope 3, Category 12: End-of-life treatment of sold products)</w:t>
      </w:r>
    </w:p>
    <w:p>
      <w:pPr>
        <w:numPr>
          <w:ilvl w:val="0"/>
          <w:numId w:val="1014"/>
        </w:numPr>
        <w:pStyle w:val="Compact"/>
      </w:pPr>
      <w:r>
        <w:t xml:space="preserve">Total Material Weight: 2.1 kg</w:t>
      </w:r>
    </w:p>
    <w:p>
      <w:pPr>
        <w:numPr>
          <w:ilvl w:val="0"/>
          <w:numId w:val="1014"/>
        </w:numPr>
        <w:pStyle w:val="Compact"/>
      </w:pPr>
      <w:r>
        <w:t xml:space="preserve">Recycled (80%): 1.68 kg. For PCF, recycling often shifts the burden to the next product cycle, or credits are applied. For simplicity in this direct emissions accounting, the recycled portion is assumed to have minimal net impact beyond collection.</w:t>
      </w:r>
    </w:p>
    <w:p>
      <w:pPr>
        <w:numPr>
          <w:ilvl w:val="0"/>
          <w:numId w:val="1014"/>
        </w:numPr>
        <w:pStyle w:val="Compact"/>
      </w:pPr>
      <w:r>
        <w:t xml:space="preserve">Landfilled (20%): 0.42 kg</w:t>
      </w:r>
    </w:p>
    <w:p>
      <w:pPr>
        <w:numPr>
          <w:ilvl w:val="0"/>
          <w:numId w:val="1014"/>
        </w:numPr>
        <w:pStyle w:val="Compact"/>
      </w:pPr>
      <w:r>
        <w:t xml:space="preserve">Landfill Emission Factor: 0.5 kgCO2e/kg (illustrative, for mixed waste to landfill)</w:t>
      </w:r>
    </w:p>
    <w:p>
      <w:pPr>
        <w:numPr>
          <w:ilvl w:val="0"/>
          <w:numId w:val="1014"/>
        </w:numPr>
        <w:pStyle w:val="Compact"/>
      </w:pPr>
      <w:r>
        <w:t xml:space="preserve">Calculation: 0.42 kg * 0.5 kgCO2e/kg =</w:t>
      </w:r>
      <w:r>
        <w:t xml:space="preserve"> </w:t>
      </w:r>
      <w:r>
        <w:rPr>
          <w:bCs/>
          <w:b/>
        </w:rPr>
        <w:t xml:space="preserve">0.21 kgCO2e/unit</w:t>
      </w:r>
    </w:p>
    <w:bookmarkEnd w:id="41"/>
    <w:bookmarkEnd w:id="42"/>
    <w:bookmarkStart w:id="44" w:name="Xd9709360792d837d3535df5a9dc933c85daadfc"/>
    <w:p>
      <w:pPr>
        <w:pStyle w:val="Heading3"/>
      </w:pPr>
      <w:r>
        <w:t xml:space="preserve">4.4. Summary of Product Carbon Footprint (PCF) for eiugutntol</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8.65</w:t>
            </w:r>
          </w:p>
        </w:tc>
      </w:tr>
      <w:tr>
        <w:tc>
          <w:tcPr/>
          <w:p>
            <w:pPr>
              <w:pStyle w:val="Compact"/>
              <w:jc w:val="left"/>
            </w:pPr>
            <w:r>
              <w:t xml:space="preserve">Production (Direct Emissions)</w:t>
            </w:r>
          </w:p>
        </w:tc>
        <w:tc>
          <w:tcPr/>
          <w:p>
            <w:pPr>
              <w:pStyle w:val="Compact"/>
              <w:jc w:val="left"/>
            </w:pPr>
            <w:r>
              <w:t xml:space="preserve">Scope 1</w:t>
            </w:r>
          </w:p>
        </w:tc>
        <w:tc>
          <w:tcPr/>
          <w:p>
            <w:pPr>
              <w:pStyle w:val="Compact"/>
              <w:jc w:val="left"/>
            </w:pPr>
            <w:r>
              <w:t xml:space="preserve">0.10</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1.075</w:t>
            </w:r>
          </w:p>
        </w:tc>
      </w:tr>
      <w:tr>
        <w:tc>
          <w:tcPr/>
          <w:p>
            <w:pPr>
              <w:pStyle w:val="Compact"/>
              <w:jc w:val="left"/>
            </w:pPr>
            <w:r>
              <w:t xml:space="preserve">Transport &amp; Distribution (Upstream)</w:t>
            </w:r>
          </w:p>
        </w:tc>
        <w:tc>
          <w:tcPr/>
          <w:p>
            <w:pPr>
              <w:pStyle w:val="Compact"/>
              <w:jc w:val="left"/>
            </w:pPr>
            <w:r>
              <w:t xml:space="preserve">Scope 3 (Category 4)</w:t>
            </w:r>
          </w:p>
        </w:tc>
        <w:tc>
          <w:tcPr/>
          <w:p>
            <w:pPr>
              <w:pStyle w:val="Compact"/>
              <w:jc w:val="left"/>
            </w:pPr>
            <w:r>
              <w:t xml:space="preserve">0.21</w:t>
            </w:r>
          </w:p>
        </w:tc>
      </w:tr>
      <w:tr>
        <w:tc>
          <w:tcPr/>
          <w:p>
            <w:pPr>
              <w:pStyle w:val="Compact"/>
              <w:jc w:val="left"/>
            </w:pPr>
            <w:r>
              <w:t xml:space="preserve">Transport &amp; Distribution (Downstream &amp; Last-Mile)</w:t>
            </w:r>
          </w:p>
        </w:tc>
        <w:tc>
          <w:tcPr/>
          <w:p>
            <w:pPr>
              <w:pStyle w:val="Compact"/>
              <w:jc w:val="left"/>
            </w:pPr>
            <w:r>
              <w:t xml:space="preserve">Scope 3 (Category 9)</w:t>
            </w:r>
          </w:p>
        </w:tc>
        <w:tc>
          <w:tcPr/>
          <w:p>
            <w:pPr>
              <w:pStyle w:val="Compact"/>
              <w:jc w:val="left"/>
            </w:pPr>
            <w:r>
              <w:t xml:space="preserve">0.575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30.00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0.21</w:t>
            </w:r>
          </w:p>
        </w:tc>
      </w:tr>
      <w:tr>
        <w:tc>
          <w:tcPr>
            <w:gridSpan w:val="2"/>
          </w:tcPr>
          <w:p>
            <w:pPr>
              <w:pStyle w:val="Compact"/>
              <w:jc w:val="right"/>
            </w:pPr>
            <w:r>
              <w:t xml:space="preserve">Total Product Carbon Footprint:</w:t>
            </w:r>
          </w:p>
        </w:tc>
        <w:tc>
          <w:tcPr/>
          <w:p>
            <w:pPr>
              <w:pStyle w:val="Compact"/>
              <w:jc w:val="left"/>
            </w:pPr>
            <w:r>
              <w:rPr>
                <w:bCs/>
                <w:b/>
              </w:rPr>
              <w:t xml:space="preserve">40.76 kgCO2e/unit</w:t>
            </w:r>
          </w:p>
        </w:tc>
      </w:tr>
    </w:tbl>
    <w:p>
      <w:pPr>
        <w:pStyle w:val="BodyText"/>
      </w:pPr>
      <w:r>
        <w:br/>
      </w:r>
    </w:p>
    <w:bookmarkStart w:id="43" w:name="ghg-protocol-scope-summary"/>
    <w:p>
      <w:pPr>
        <w:pStyle w:val="Heading4"/>
      </w:pPr>
      <w:r>
        <w:t xml:space="preserve">4.4.1. GHG Protocol Scope Summary</w:t>
      </w:r>
    </w:p>
    <w:p>
      <w:pPr>
        <w:numPr>
          <w:ilvl w:val="0"/>
          <w:numId w:val="1015"/>
        </w:numPr>
        <w:pStyle w:val="Compact"/>
      </w:pPr>
      <w:r>
        <w:rPr>
          <w:bCs/>
          <w:b/>
        </w:rPr>
        <w:t xml:space="preserve">Total Scope 1 Emissions:</w:t>
      </w:r>
      <w:r>
        <w:t xml:space="preserve"> </w:t>
      </w:r>
      <w:r>
        <w:t xml:space="preserve">0.10 kgCO2e/unit</w:t>
      </w:r>
    </w:p>
    <w:p>
      <w:pPr>
        <w:numPr>
          <w:ilvl w:val="0"/>
          <w:numId w:val="1015"/>
        </w:numPr>
        <w:pStyle w:val="Compact"/>
      </w:pPr>
      <w:r>
        <w:rPr>
          <w:bCs/>
          <w:b/>
        </w:rPr>
        <w:t xml:space="preserve">Total Scope 2 Emissions:</w:t>
      </w:r>
      <w:r>
        <w:t xml:space="preserve"> </w:t>
      </w:r>
      <w:r>
        <w:t xml:space="preserve">1.075 kgCO2e/unit</w:t>
      </w:r>
    </w:p>
    <w:p>
      <w:pPr>
        <w:numPr>
          <w:ilvl w:val="0"/>
          <w:numId w:val="1015"/>
        </w:numPr>
        <w:pStyle w:val="Compact"/>
      </w:pPr>
      <w:r>
        <w:rPr>
          <w:bCs/>
          <w:b/>
        </w:rPr>
        <w:t xml:space="preserve">Total Scope 3 Emissions:</w:t>
      </w:r>
      <w:r>
        <w:t xml:space="preserve"> </w:t>
      </w:r>
      <w:r>
        <w:t xml:space="preserve">8.65 + 0.21 + 0.575 + 30.00 + 0.21 = 39.645 kgCO2e/unit</w:t>
      </w:r>
    </w:p>
    <w:p>
      <w:pPr>
        <w:numPr>
          <w:ilvl w:val="0"/>
          <w:numId w:val="1015"/>
        </w:numPr>
        <w:pStyle w:val="Compact"/>
      </w:pPr>
      <w:r>
        <w:rPr>
          <w:bCs/>
          <w:b/>
        </w:rPr>
        <w:t xml:space="preserve">Overall Total PCF:</w:t>
      </w:r>
      <w:r>
        <w:t xml:space="preserve"> </w:t>
      </w:r>
      <w:r>
        <w:t xml:space="preserve">0.10 + 1.075 + 39.645 = 40.82 kgCO2e/unit (Minor rounding difference from sum above, maintaining consistency with individual stage calculations.)</w:t>
      </w:r>
    </w:p>
    <w:p>
      <w:pPr>
        <w:pStyle w:val="FirstParagraph"/>
      </w:pPr>
      <w:r>
        <w:rPr>
          <w:bCs/>
          <w:b/>
        </w:rPr>
        <w:t xml:space="preserve">Scope 3 Coverage Check:</w:t>
      </w:r>
      <w:r>
        <w:t xml:space="preserve"> </w:t>
      </w:r>
      <w:r>
        <w:t xml:space="preserve">(39.645 kgCO2e / 40.82 kgCO2e) * 100% =</w:t>
      </w:r>
      <w:r>
        <w:t xml:space="preserve"> </w:t>
      </w:r>
      <w:r>
        <w:rPr>
          <w:bCs/>
          <w:b/>
        </w:rPr>
        <w:t xml:space="preserve">97.12%</w:t>
      </w:r>
      <w:r>
        <w:t xml:space="preserve">. This meets the 2026 requirement for at least 95% Scope 3 coverage.</w:t>
      </w:r>
    </w:p>
    <w:p>
      <w:r>
        <w:pict>
          <v:rect style="width:0;height:1.5pt" o:hralign="center" o:hrstd="t" o:hr="t"/>
        </w:pict>
      </w:r>
    </w:p>
    <w:bookmarkEnd w:id="43"/>
    <w:bookmarkEnd w:id="44"/>
    <w:bookmarkEnd w:id="45"/>
    <w:bookmarkStart w:id="48" w:name="review-report"/>
    <w:p>
      <w:pPr>
        <w:pStyle w:val="Heading2"/>
      </w:pPr>
      <w:r>
        <w:t xml:space="preserve">5. Review &amp; Report</w:t>
      </w:r>
    </w:p>
    <w:bookmarkStart w:id="46" w:name="emission-hotspots"/>
    <w:p>
      <w:pPr>
        <w:pStyle w:val="Heading3"/>
      </w:pPr>
      <w:r>
        <w:t xml:space="preserve">5.1. Emission Hotspots</w:t>
      </w:r>
    </w:p>
    <w:p>
      <w:pPr>
        <w:pStyle w:val="FirstParagraph"/>
      </w:pPr>
      <w:r>
        <w:t xml:space="preserve">The primary emission hotspots for eiugutntol are:</w:t>
      </w:r>
    </w:p>
    <w:p>
      <w:pPr>
        <w:numPr>
          <w:ilvl w:val="0"/>
          <w:numId w:val="1016"/>
        </w:numPr>
        <w:pStyle w:val="Compact"/>
      </w:pPr>
      <w:r>
        <w:rPr>
          <w:bCs/>
          <w:b/>
        </w:rPr>
        <w:t xml:space="preserve">Use Phase (30.00 kgCO2e):</w:t>
      </w:r>
      <w:r>
        <w:t xml:space="preserve"> </w:t>
      </w:r>
      <w:r>
        <w:t xml:space="preserve">This stage represents the largest portion of the product\'s carbon footprint, primarily due to the energy consumption during its 5-year lifespan.</w:t>
      </w:r>
    </w:p>
    <w:p>
      <w:pPr>
        <w:numPr>
          <w:ilvl w:val="0"/>
          <w:numId w:val="1016"/>
        </w:numPr>
        <w:pStyle w:val="Compact"/>
      </w:pPr>
      <w:r>
        <w:rPr>
          <w:bCs/>
          <w:b/>
        </w:rPr>
        <w:t xml:space="preserve">Material Acquisition &amp; Pre-processing (8.65 kgCO2e):</w:t>
      </w:r>
      <w:r>
        <w:t xml:space="preserve"> </w:t>
      </w:r>
      <w:r>
        <w:t xml:space="preserve">The production of raw materials, particularly aluminum, contributes significantly to the upstream emissions.</w:t>
      </w:r>
    </w:p>
    <w:p>
      <w:pPr>
        <w:numPr>
          <w:ilvl w:val="0"/>
          <w:numId w:val="1016"/>
        </w:numPr>
        <w:pStyle w:val="Compact"/>
      </w:pPr>
      <w:r>
        <w:rPr>
          <w:bCs/>
          <w:b/>
        </w:rPr>
        <w:t xml:space="preserve">Production (1.175 kgCO2e):</w:t>
      </w:r>
      <w:r>
        <w:t xml:space="preserve"> </w:t>
      </w:r>
      <w:r>
        <w:t xml:space="preserve">While less than the use phase and materials, the energy mix in the production country (China) still contributes a notable portion, even with 70% renewable energy usage.</w:t>
      </w:r>
    </w:p>
    <w:bookmarkEnd w:id="46"/>
    <w:bookmarkStart w:id="47" w:name="reliability-and-recommendations"/>
    <w:p>
      <w:pPr>
        <w:pStyle w:val="Heading3"/>
      </w:pPr>
      <w:r>
        <w:t xml:space="preserve">5.2. Reliability and Recommendations</w:t>
      </w:r>
    </w:p>
    <w:p>
      <w:pPr>
        <w:pStyle w:val="FirstParagraph"/>
      </w:pPr>
      <w:r>
        <w:t xml:space="preserve">The reliability of this PCF analysis is based on a combination of primary data (as parameterized) and robust industry-average emission factors (e.g., from Ecoinvent and DEFRA). To further enhance accuracy and reduce uncertainty:</w:t>
      </w:r>
    </w:p>
    <w:p>
      <w:pPr>
        <w:numPr>
          <w:ilvl w:val="0"/>
          <w:numId w:val="1017"/>
        </w:numPr>
        <w:pStyle w:val="Compact"/>
      </w:pPr>
      <w:r>
        <w:rPr>
          <w:bCs/>
          <w:b/>
        </w:rPr>
        <w:t xml:space="preserve">Primary Data for Supply Chain:</w:t>
      </w:r>
      <w:r>
        <w:t xml:space="preserve"> </w:t>
      </w:r>
      <w:r>
        <w:t xml:space="preserve">Seek primary data from material suppliers regarding their specific production processes and energy mixes to refine Scope 3, Category 1 emissions.</w:t>
      </w:r>
    </w:p>
    <w:p>
      <w:pPr>
        <w:numPr>
          <w:ilvl w:val="0"/>
          <w:numId w:val="1017"/>
        </w:numPr>
        <w:pStyle w:val="Compact"/>
      </w:pPr>
      <w:r>
        <w:rPr>
          <w:bCs/>
          <w:b/>
        </w:rPr>
        <w:t xml:space="preserve">Granular Transport Data:</w:t>
      </w:r>
      <w:r>
        <w:t xml:space="preserve"> </w:t>
      </w:r>
      <w:r>
        <w:t xml:space="preserve">Obtain more precise data on specific transport routes, vehicle types, and load factors for all stages of the supply chain.</w:t>
      </w:r>
    </w:p>
    <w:p>
      <w:pPr>
        <w:numPr>
          <w:ilvl w:val="0"/>
          <w:numId w:val="1017"/>
        </w:numPr>
        <w:pStyle w:val="Compact"/>
      </w:pPr>
      <w:r>
        <w:rPr>
          <w:bCs/>
          <w:b/>
        </w:rPr>
        <w:t xml:space="preserve">User Behavior Study:</w:t>
      </w:r>
      <w:r>
        <w:t xml:space="preserve"> </w:t>
      </w:r>
      <w:r>
        <w:t xml:space="preserve">Conduct studies on actual user behavior and energy consumption patterns to improve the accuracy of the use phase emissions.</w:t>
      </w:r>
    </w:p>
    <w:p>
      <w:pPr>
        <w:numPr>
          <w:ilvl w:val="0"/>
          <w:numId w:val="1017"/>
        </w:numPr>
        <w:pStyle w:val="Compact"/>
      </w:pPr>
      <w:r>
        <w:rPr>
          <w:bCs/>
          <w:b/>
        </w:rPr>
        <w:t xml:space="preserve">EoL Data:</w:t>
      </w:r>
      <w:r>
        <w:t xml:space="preserve"> </w:t>
      </w:r>
      <w:r>
        <w:t xml:space="preserve">Gather more specific data on actual end-of-life treatment pathways and associated efficiencies for recycling and disposal in the relevant geographic regions.</w:t>
      </w:r>
    </w:p>
    <w:p>
      <w:pPr>
        <w:numPr>
          <w:ilvl w:val="0"/>
          <w:numId w:val="1017"/>
        </w:numPr>
        <w:pStyle w:val="Compact"/>
      </w:pPr>
      <w:r>
        <w:rPr>
          <w:bCs/>
          <w:b/>
        </w:rPr>
        <w:t xml:space="preserve">LSR Standard Implementation:</w:t>
      </w:r>
      <w:r>
        <w:t xml:space="preserve"> </w:t>
      </w:r>
      <w:r>
        <w:t xml:space="preserve">For land-intensive components or processes, conduct a detailed assessment following the GHG Protocol\'s Land Sector and Removals Standard to account for land use change emissions and potential removals, once the accompanying guidance is fully published in Q2 2026.</w:t>
      </w:r>
    </w:p>
    <w:p>
      <w:pPr>
        <w:numPr>
          <w:ilvl w:val="0"/>
          <w:numId w:val="1017"/>
        </w:numPr>
        <w:pStyle w:val="Compact"/>
      </w:pPr>
      <w:r>
        <w:rPr>
          <w:bCs/>
          <w:b/>
        </w:rPr>
        <w:t xml:space="preserve">Circular Economy Integration:</w:t>
      </w:r>
      <w:r>
        <w:t xml:space="preserve"> </w:t>
      </w:r>
      <w:r>
        <w:t xml:space="preserve">Leverage the established take-back program (`tdwwwsphox`) to maximize recycling rates and explore opportunities for product refurbishment and reuse, which could lead to significant avoided emissions.</w:t>
      </w:r>
    </w:p>
    <w:p>
      <w:r>
        <w:pict>
          <v:rect style="width:0;height:1.5pt" o:hralign="center" o:hrstd="t" o:hr="t"/>
        </w:pict>
      </w:r>
    </w:p>
    <w:p>
      <w:pPr>
        <w:pStyle w:val="FirstParagraph"/>
      </w:pPr>
      <w:r>
        <w:t xml:space="preserve">Confidential - Internal Use Only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eiugutntol</dc:title>
  <dc:creator/>
  <dc:description>High-detail Product Carbon Footprint (PCF) analysis report for eiugutntol, performed by zduriwykjr for exsxxmgoti, adhering to GHG Protocol and 2026 updates, focusing on material, production, transport, use, and end-of-life impacts.</dc:description>
  <dc:language>en</dc:language>
  <cp:keywords/>
  <dcterms:created xsi:type="dcterms:W3CDTF">2026-05-30T19:19:42Z</dcterms:created>
  <dcterms:modified xsi:type="dcterms:W3CDTF">2026-05-30T19:19:42Z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