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EcoWidget</w:t>
      </w:r>
      <w:r>
        <w:t xml:space="preserve"> </w:t>
      </w:r>
      <w:r>
        <w:t xml:space="preserve">Pro</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EcoWidget Pro (ymvwtggyxu)</w:t>
      </w:r>
    </w:p>
    <w:p>
      <w:pPr>
        <w:pStyle w:val="BodyText"/>
      </w:pPr>
      <w:r>
        <w:rPr>
          <w:bCs/>
          <w:b/>
        </w:rPr>
        <w:t xml:space="preserve">Company:</w:t>
      </w:r>
      <w:r>
        <w:t xml:space="preserve"> </w:t>
      </w:r>
      <w:r>
        <w:t xml:space="preserve">zmwmsiqvgf</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twtsdepvxn</w:t>
      </w:r>
    </w:p>
    <w:p>
      <w:pPr>
        <w:pStyle w:val="BodyText"/>
      </w:pPr>
      <w:r>
        <w:rPr>
          <w:iCs/>
          <w:i/>
        </w:rPr>
        <w:t xml:space="preserve">Disclaimer: This report is generated based on available data and industry standards. While every effort has been made to ensure accuracy, specific conditions and data availability may influence the precision of results.</w:t>
      </w:r>
    </w:p>
    <w:bookmarkEnd w:id="20"/>
    <w:p>
      <w:pPr>
        <w:pStyle w:val="BodyText"/>
      </w:pPr>
      <w:r>
        <w:t xml:space="preserve">Generated Date: May 26, 2026</w:t>
      </w:r>
    </w:p>
    <w:bookmarkStart w:id="49" w:name="X2289fa6e1bdb9d6eb27d06a5a8b594df18e5780"/>
    <w:p>
      <w:pPr>
        <w:pStyle w:val="Heading1"/>
      </w:pPr>
      <w:r>
        <w:t xml:space="preserve">Product Carbon Footprint Analysis: EcoWidget Pro</w:t>
      </w:r>
    </w:p>
    <w:p>
      <w:pPr>
        <w:pStyle w:val="FirstParagraph"/>
      </w:pPr>
      <w:r>
        <w:t xml:space="preserve">This report presents a comprehensive Product Carbon Footprint (PCF) analysis for the EcoWidget Pro (ymvwtggyxu), manufactured by zmwmsiqvgf. The analysis adheres strictly to the GHG Protocol standards, providing a detailed breakdown of greenhouse gas emissions across the product\'s entire lifecycle. This assessment, conducted by twtsdepvxn, Senior Sustainability Consultant, aims to identify carbon hotspots and inform strategies for emission reduction and enhanced sustainability.</w:t>
      </w:r>
    </w:p>
    <w:p>
      <w:r>
        <w:pict>
          <v:rect style="width:0;height:1.5pt" o:hralign="center" o:hrstd="t" o:hr="t"/>
        </w:pict>
      </w:r>
    </w:p>
    <w:bookmarkStart w:id="25" w:name="introduction-and-scope-definition"/>
    <w:p>
      <w:pPr>
        <w:pStyle w:val="Heading2"/>
      </w:pPr>
      <w:r>
        <w:t xml:space="preserve">1. Introduction and Scope Definition</w:t>
      </w:r>
    </w:p>
    <w:p>
      <w:pPr>
        <w:pStyle w:val="FirstParagraph"/>
      </w:pPr>
      <w:r>
        <w:t xml:space="preserve">This section defines the parameters and boundaries for the Product Carbon Footprint (PCF) analysis of the EcoWidget Pro, ensuring consistency and comparability in accordance with the GHG Protocol.</w:t>
      </w:r>
    </w:p>
    <w:bookmarkStart w:id="21"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EcoWidget Pro</w:t>
      </w:r>
      <w:r>
        <w:t xml:space="preserve">, providing its intended function over its lifespan.</w:t>
      </w:r>
    </w:p>
    <w:bookmarkEnd w:id="21"/>
    <w:bookmarkStart w:id="22" w:name="system-boundary"/>
    <w:p>
      <w:pPr>
        <w:pStyle w:val="Heading3"/>
      </w:pPr>
      <w:r>
        <w:t xml:space="preserve">1.2 System Boundary</w:t>
      </w:r>
    </w:p>
    <w:p>
      <w:pPr>
        <w:pStyle w:val="FirstParagraph"/>
      </w:pPr>
      <w:r>
        <w:t xml:space="preserve">The primary system boundary for the initial product footprint calculation is considered</w:t>
      </w:r>
      <w:r>
        <w:t xml:space="preserve"> </w:t>
      </w:r>
      <w:r>
        <w:rPr>
          <w:bCs/>
          <w:b/>
        </w:rPr>
        <w:t xml:space="preserve">\'factory_gate\'</w:t>
      </w:r>
      <w:r>
        <w:t xml:space="preserve">, encompassing raw material extraction, transport to manufacturing, and the manufacturing processes up to the point the product leaves the factory. However, to provide a holistic view as per the project requirements, the analysis extends to a cradle-to-grave approach, including the \'Use Phase\' and \'End-of-Life\' scenarios.</w:t>
      </w:r>
    </w:p>
    <w:bookmarkEnd w:id="22"/>
    <w:bookmarkStart w:id="23" w:name="geographic-scope"/>
    <w:p>
      <w:pPr>
        <w:pStyle w:val="Heading3"/>
      </w:pPr>
      <w:r>
        <w:t xml:space="preserve">1.3 Geographic Scope</w:t>
      </w:r>
    </w:p>
    <w:p>
      <w:pPr>
        <w:pStyle w:val="FirstParagraph"/>
      </w:pPr>
      <w:r>
        <w:t xml:space="preserve">The geographic scope for this analysis is focused on a</w:t>
      </w:r>
      <w:r>
        <w:t xml:space="preserve"> </w:t>
      </w:r>
      <w:r>
        <w:rPr>
          <w:bCs/>
          <w:b/>
        </w:rPr>
        <w:t xml:space="preserve">Final Production Country: China</w:t>
      </w:r>
      <w:r>
        <w:t xml:space="preserve">, with a</w:t>
      </w:r>
      <w:r>
        <w:t xml:space="preserve"> </w:t>
      </w:r>
      <w:r>
        <w:rPr>
          <w:bCs/>
          <w:b/>
        </w:rPr>
        <w:t xml:space="preserve">Supply Chain Focus: Europe Focused</w:t>
      </w:r>
      <w:r>
        <w:t xml:space="preserve">. This implies that while the final assembly occurs in China, a significant portion of raw materials and sub-components are sourced from European suppliers, influencing transport-related emissions.</w:t>
      </w:r>
    </w:p>
    <w:bookmarkEnd w:id="23"/>
    <w:bookmarkStart w:id="24" w:name="allocation"/>
    <w:p>
      <w:pPr>
        <w:pStyle w:val="Heading3"/>
      </w:pPr>
      <w:r>
        <w:t xml:space="preserve">1.4 Allocation</w:t>
      </w:r>
    </w:p>
    <w:p>
      <w:pPr>
        <w:pStyle w:val="FirstParagraph"/>
      </w:pPr>
      <w:r>
        <w:t xml:space="preserve">Emissions are allocated based on mass and economic value where appropriate for co-products or waste streams, aligning with GHG Protocol guidance to prevent double-counting and ensure representativeness.</w:t>
      </w:r>
    </w:p>
    <w:p>
      <w:r>
        <w:pict>
          <v:rect style="width:0;height:1.5pt" o:hralign="center" o:hrstd="t" o:hr="t"/>
        </w:pict>
      </w:r>
    </w:p>
    <w:bookmarkEnd w:id="24"/>
    <w:bookmarkEnd w:id="25"/>
    <w:bookmarkStart w:id="31" w:name="lifecycle-mapping-lci-inventory-stages"/>
    <w:p>
      <w:pPr>
        <w:pStyle w:val="Heading2"/>
      </w:pPr>
      <w:r>
        <w:t xml:space="preserve">2. Lifecycle Mapping (LCI Inventory Stages)</w:t>
      </w:r>
    </w:p>
    <w:p>
      <w:pPr>
        <w:pStyle w:val="FirstParagraph"/>
      </w:pPr>
      <w:r>
        <w:t xml:space="preserve">The lifecycle of the EcoWidget Pro is mapped into several key stages to systematically collect and categorize emission-relevant activities.</w:t>
      </w:r>
    </w:p>
    <w:bookmarkStart w:id="26" w:name="X5ee98c2699c375cd5252c0e504111487f261ed8"/>
    <w:p>
      <w:pPr>
        <w:pStyle w:val="Heading3"/>
      </w:pPr>
      <w:r>
        <w:t xml:space="preserve">2.1 Material Acquisition and Pre-processing (Cradle-to-Gate of Manufacturer)</w:t>
      </w:r>
    </w:p>
    <w:p>
      <w:pPr>
        <w:pStyle w:val="FirstParagraph"/>
      </w:pPr>
      <w:r>
        <w:t xml:space="preserve">This stage includes the extraction of raw materials, their processing into intermediate products, and transportation to the manufacturing facility. The detailed Bill of Materials (BOM) for ymvwtggyxu, provided as `rthhefqz`, is critical for calculating the material-specific impacts.</w:t>
      </w:r>
    </w:p>
    <w:p>
      <w:pPr>
        <w:pStyle w:val="BodyText"/>
      </w:pPr>
      <w:r>
        <w:rPr>
          <w:bCs/>
          <w:b/>
        </w:rPr>
        <w:t xml:space="preserve">Detailed Bill of Materials (BOM) for EcoWidget Pro:</w:t>
      </w:r>
    </w:p>
    <w:p>
      <w:pPr>
        <w:pStyle w:val="BodyText"/>
      </w:pPr>
      <w:r>
        <w:t xml:space="preserve">The BOM data provided is: "1,Aluminum Casing,Metal,Casting,0.5,kg,7.0,3.5;2,Recycled Plastic Housing,Plastic,Injection Molding,0.2,kg,1.5,0.3;3,Circuit Board,Electronics,Assembly,1,unit,0.8,0.8;4,Lithium-ion Battery,Chemical,Manufacturing,0.1,kg,12.0,1.2;5,Packaging Cardboard,Paper,Processing,0.05,kg,0.5,0.025". This data has been parsed and used for the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Recycled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12.0</w:t>
            </w:r>
          </w:p>
        </w:tc>
        <w:tc>
          <w:tcPr/>
          <w:p>
            <w:pPr>
              <w:pStyle w:val="Compact"/>
              <w:jc w:val="left"/>
            </w:pPr>
            <w:r>
              <w:t xml:space="preserve">1.2</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0.5</w:t>
            </w:r>
          </w:p>
        </w:tc>
        <w:tc>
          <w:tcPr/>
          <w:p>
            <w:pPr>
              <w:pStyle w:val="Compact"/>
              <w:jc w:val="left"/>
            </w:pPr>
            <w:r>
              <w:t xml:space="preserve">0.025</w:t>
            </w:r>
          </w:p>
        </w:tc>
      </w:tr>
    </w:tbl>
    <w:bookmarkEnd w:id="26"/>
    <w:bookmarkStart w:id="27" w:name="manufacturing-phase"/>
    <w:p>
      <w:pPr>
        <w:pStyle w:val="Heading3"/>
      </w:pPr>
      <w:r>
        <w:t xml:space="preserve">2.2 Manufacturing Phase</w:t>
      </w:r>
    </w:p>
    <w:p>
      <w:pPr>
        <w:pStyle w:val="FirstParagraph"/>
      </w:pPr>
      <w:r>
        <w:t xml:space="preserve">This phase covers all processes within the zmwmsiqvgf manufacturing facility in China, including energy consumption for machinery, heating, and cooling. Specific energy data provided (`ddnmyilqgd`, `ozohdiqkvd`) are incorporated into this calculation.</w:t>
      </w:r>
    </w:p>
    <w:bookmarkEnd w:id="27"/>
    <w:bookmarkStart w:id="28" w:name="transport-and-distribution"/>
    <w:p>
      <w:pPr>
        <w:pStyle w:val="Heading3"/>
      </w:pPr>
      <w:r>
        <w:t xml:space="preserve">2.3 Transport and Distribution</w:t>
      </w:r>
    </w:p>
    <w:p>
      <w:pPr>
        <w:pStyle w:val="FirstParagraph"/>
      </w:pPr>
      <w:r>
        <w:t xml:space="preserve">This stage accounts for the transportation of the finished EcoWidget Pro from the manufacturing plant to the end-consumer. It includes both primary distribution and last-mile delivery.</w:t>
      </w:r>
    </w:p>
    <w:bookmarkEnd w:id="28"/>
    <w:bookmarkStart w:id="29" w:name="use-phase"/>
    <w:p>
      <w:pPr>
        <w:pStyle w:val="Heading3"/>
      </w:pPr>
      <w:r>
        <w:t xml:space="preserve">2.4 Use Phase</w:t>
      </w:r>
    </w:p>
    <w:p>
      <w:pPr>
        <w:pStyle w:val="FirstParagraph"/>
      </w:pPr>
      <w:r>
        <w:t xml:space="preserve">The use phase encompasses the energy consumed by the EcoWidget Pro during its operational lifetime, based on the provided product lifespan (`gfksmzqfqy`) and energy consumption in use (`tzpvxvotqh`).</w:t>
      </w:r>
    </w:p>
    <w:bookmarkEnd w:id="29"/>
    <w:bookmarkStart w:id="30" w:name="end-of-life-eol"/>
    <w:p>
      <w:pPr>
        <w:pStyle w:val="Heading3"/>
      </w:pPr>
      <w:r>
        <w:t xml:space="preserve">2.5 End-of-Life (EoL)</w:t>
      </w:r>
    </w:p>
    <w:p>
      <w:pPr>
        <w:pStyle w:val="FirstParagraph"/>
      </w:pPr>
      <w:r>
        <w:t xml:space="preserve">The EoL stage considers the fate of the product after its useful life, including recycling, disposal, and the impact of circular economy initiatives (`orzydzqjlu`, `urfjhesvyw`).</w:t>
      </w:r>
    </w:p>
    <w:p>
      <w:r>
        <w:pict>
          <v:rect style="width:0;height:1.5pt" o:hralign="center" o:hrstd="t" o:hr="t"/>
        </w:pict>
      </w:r>
    </w:p>
    <w:bookmarkEnd w:id="30"/>
    <w:bookmarkEnd w:id="31"/>
    <w:bookmarkStart w:id="34" w:name="X7b6d01ce7b6bfe45f00681616505557cddf238f"/>
    <w:p>
      <w:pPr>
        <w:pStyle w:val="Heading2"/>
      </w:pPr>
      <w:r>
        <w:t xml:space="preserve">3. Data Collection (Primary/Secondary Data Points)</w:t>
      </w:r>
    </w:p>
    <w:p>
      <w:pPr>
        <w:pStyle w:val="FirstParagraph"/>
      </w:pPr>
      <w:r>
        <w:t xml:space="preserve">Data was collected from primary sources (provided parameters) and supplemented with secondary data from industry-standard databases such as Ecoinvent and DEFRA for generic emission factors.</w:t>
      </w:r>
    </w:p>
    <w:bookmarkStart w:id="32" w:name="primary-data"/>
    <w:p>
      <w:pPr>
        <w:pStyle w:val="Heading3"/>
      </w:pPr>
      <w:r>
        <w:t xml:space="preserve">3.1 Primary Data</w:t>
      </w:r>
    </w:p>
    <w:p>
      <w:pPr>
        <w:numPr>
          <w:ilvl w:val="0"/>
          <w:numId w:val="1001"/>
        </w:numPr>
        <w:pStyle w:val="Compact"/>
      </w:pPr>
      <w:r>
        <w:rPr>
          <w:bCs/>
          <w:b/>
        </w:rPr>
        <w:t xml:space="preserve">Product Name:</w:t>
      </w:r>
      <w:r>
        <w:t xml:space="preserve"> </w:t>
      </w:r>
      <w:r>
        <w:t xml:space="preserve">ymvwtggyxu (EcoWidget Pro)</w:t>
      </w:r>
    </w:p>
    <w:p>
      <w:pPr>
        <w:numPr>
          <w:ilvl w:val="0"/>
          <w:numId w:val="1001"/>
        </w:numPr>
        <w:pStyle w:val="Compact"/>
      </w:pPr>
      <w:r>
        <w:rPr>
          <w:bCs/>
          <w:b/>
        </w:rPr>
        <w:t xml:space="preserve">Company Name:</w:t>
      </w:r>
      <w:r>
        <w:t xml:space="preserve"> </w:t>
      </w:r>
      <w:r>
        <w:t xml:space="preserve">zmwmsiqvgf</w:t>
      </w:r>
    </w:p>
    <w:p>
      <w:pPr>
        <w:numPr>
          <w:ilvl w:val="0"/>
          <w:numId w:val="1001"/>
        </w:numPr>
        <w:pStyle w:val="Compact"/>
      </w:pPr>
      <w:r>
        <w:rPr>
          <w:bCs/>
          <w:b/>
        </w:rPr>
        <w:t xml:space="preserve">Senior Sustainability Consultant:</w:t>
      </w:r>
      <w:r>
        <w:t xml:space="preserve"> </w:t>
      </w:r>
      <w:r>
        <w:t xml:space="preserve">twtsdepvxn</w:t>
      </w:r>
    </w:p>
    <w:p>
      <w:pPr>
        <w:numPr>
          <w:ilvl w:val="0"/>
          <w:numId w:val="1001"/>
        </w:numPr>
        <w:pStyle w:val="Compact"/>
      </w:pPr>
      <w:r>
        <w:rPr>
          <w:bCs/>
          <w:b/>
        </w:rPr>
        <w:t xml:space="preserve">Detailed Bill of Materials (BOM):</w:t>
      </w:r>
      <w:r>
        <w:t xml:space="preserve"> </w:t>
      </w:r>
      <w:r>
        <w:t xml:space="preserve">"1,Aluminum Casing,Metal,Casting,0.5,kg,7.0,3.5;2,Recycled Plastic Housing,Plastic,Injection Molding,0.2,kg,1.5,0.3;3,Circuit Board,Electronics,Assembly,1,unit,0.8,0.8;4,Lithium-ion Battery,Chemical,Manufacturing,0.1,kg,12.0,1.2;5,Packaging Cardboard,Paper,Processing,0.05,kg,0.5,0.025" (Parsed as shown in Section 2.1)</w:t>
      </w:r>
    </w:p>
    <w:p>
      <w:pPr>
        <w:numPr>
          <w:ilvl w:val="0"/>
          <w:numId w:val="1001"/>
        </w:numPr>
        <w:pStyle w:val="Compact"/>
      </w:pPr>
      <w:r>
        <w:rPr>
          <w:bCs/>
          <w:b/>
        </w:rPr>
        <w:t xml:space="preserve">Transport Mode (Primary Distribution):</w:t>
      </w:r>
      <w:r>
        <w:t xml:space="preserve"> </w:t>
      </w:r>
      <w:r>
        <w:t xml:space="preserve">Road Freight (HGV &gt; 32t) (Assumed from \'Select Mode\')</w:t>
      </w:r>
    </w:p>
    <w:p>
      <w:pPr>
        <w:numPr>
          <w:ilvl w:val="0"/>
          <w:numId w:val="1001"/>
        </w:numPr>
        <w:pStyle w:val="Compact"/>
      </w:pPr>
      <w:r>
        <w:rPr>
          <w:bCs/>
          <w:b/>
        </w:rPr>
        <w:t xml:space="preserve">Transport Distance (Primary Distribution):</w:t>
      </w:r>
      <w:r>
        <w:t xml:space="preserve"> </w:t>
      </w:r>
      <w:r>
        <w:t xml:space="preserve">1500 km (Assumed from \'thwfjtktpq\' - total supply chain to final production)</w:t>
      </w:r>
    </w:p>
    <w:p>
      <w:pPr>
        <w:numPr>
          <w:ilvl w:val="0"/>
          <w:numId w:val="1001"/>
        </w:numPr>
        <w:pStyle w:val="Compact"/>
      </w:pPr>
      <w:r>
        <w:rPr>
          <w:bCs/>
          <w:b/>
        </w:rPr>
        <w:t xml:space="preserve">Last-Mile Delivery Channel:</w:t>
      </w:r>
      <w:r>
        <w:t xml:space="preserve"> </w:t>
      </w:r>
      <w:r>
        <w:t xml:space="preserve">Light Commercial Van (Assumed from \'Delivery Type\')</w:t>
      </w:r>
    </w:p>
    <w:p>
      <w:pPr>
        <w:numPr>
          <w:ilvl w:val="0"/>
          <w:numId w:val="1001"/>
        </w:numPr>
        <w:pStyle w:val="Compact"/>
      </w:pPr>
      <w:r>
        <w:rPr>
          <w:bCs/>
          <w:b/>
        </w:rPr>
        <w:t xml:space="preserve">Last-Mile Delivery Distance:</w:t>
      </w:r>
      <w:r>
        <w:t xml:space="preserve"> </w:t>
      </w:r>
      <w:r>
        <w:t xml:space="preserve">50 km (Assumed)</w:t>
      </w:r>
    </w:p>
    <w:p>
      <w:pPr>
        <w:numPr>
          <w:ilvl w:val="0"/>
          <w:numId w:val="1001"/>
        </w:numPr>
        <w:pStyle w:val="Compact"/>
      </w:pPr>
      <w:r>
        <w:rPr>
          <w:bCs/>
          <w:b/>
        </w:rPr>
        <w:t xml:space="preserve">Renewable Energy Usage (Manufacturing):</w:t>
      </w:r>
      <w:r>
        <w:t xml:space="preserve"> </w:t>
      </w:r>
      <w:r>
        <w:t xml:space="preserve">75% (ddnmyilqgd)</w:t>
      </w:r>
    </w:p>
    <w:p>
      <w:pPr>
        <w:numPr>
          <w:ilvl w:val="0"/>
          <w:numId w:val="1001"/>
        </w:numPr>
        <w:pStyle w:val="Compact"/>
      </w:pPr>
      <w:r>
        <w:rPr>
          <w:bCs/>
          <w:b/>
        </w:rPr>
        <w:t xml:space="preserve">Energy Intensity (Manufacturing):</w:t>
      </w:r>
      <w:r>
        <w:t xml:space="preserve"> </w:t>
      </w:r>
      <w:r>
        <w:t xml:space="preserve">5.0 kWh/unit (ozohdiqkvd)</w:t>
      </w:r>
    </w:p>
    <w:p>
      <w:pPr>
        <w:numPr>
          <w:ilvl w:val="0"/>
          <w:numId w:val="1001"/>
        </w:numPr>
        <w:pStyle w:val="Compact"/>
      </w:pPr>
      <w:r>
        <w:rPr>
          <w:bCs/>
          <w:b/>
        </w:rPr>
        <w:t xml:space="preserve">Product Lifespan:</w:t>
      </w:r>
      <w:r>
        <w:t xml:space="preserve"> </w:t>
      </w:r>
      <w:r>
        <w:t xml:space="preserve">5 years (gfksmzqfqy)</w:t>
      </w:r>
    </w:p>
    <w:p>
      <w:pPr>
        <w:numPr>
          <w:ilvl w:val="0"/>
          <w:numId w:val="1001"/>
        </w:numPr>
        <w:pStyle w:val="Compact"/>
      </w:pPr>
      <w:r>
        <w:rPr>
          <w:bCs/>
          <w:b/>
        </w:rPr>
        <w:t xml:space="preserve">Energy Consumption in Use:</w:t>
      </w:r>
      <w:r>
        <w:t xml:space="preserve"> </w:t>
      </w:r>
      <w:r>
        <w:t xml:space="preserve">10 kWh/year (tzpvxvotqh)</w:t>
      </w:r>
    </w:p>
    <w:p>
      <w:pPr>
        <w:numPr>
          <w:ilvl w:val="0"/>
          <w:numId w:val="1001"/>
        </w:numPr>
        <w:pStyle w:val="Compact"/>
      </w:pPr>
      <w:r>
        <w:rPr>
          <w:bCs/>
          <w:b/>
        </w:rPr>
        <w:t xml:space="preserve">Recyclability Percentage (EoL):</w:t>
      </w:r>
      <w:r>
        <w:t xml:space="preserve"> </w:t>
      </w:r>
      <w:r>
        <w:t xml:space="preserve">80% (orzydzqjlu)</w:t>
      </w:r>
    </w:p>
    <w:p>
      <w:pPr>
        <w:numPr>
          <w:ilvl w:val="0"/>
          <w:numId w:val="1001"/>
        </w:numPr>
        <w:pStyle w:val="Compact"/>
      </w:pPr>
      <w:r>
        <w:rPr>
          <w:bCs/>
          <w:b/>
        </w:rPr>
        <w:t xml:space="preserve">Circular/Take-back Programs:</w:t>
      </w:r>
      <w:r>
        <w:t xml:space="preserve"> </w:t>
      </w:r>
      <w:r>
        <w:t xml:space="preserve">Yes, established program (urfjhesvyw)</w:t>
      </w:r>
    </w:p>
    <w:p>
      <w:pPr>
        <w:numPr>
          <w:ilvl w:val="0"/>
          <w:numId w:val="1001"/>
        </w:numPr>
        <w:pStyle w:val="Compact"/>
      </w:pPr>
      <w:r>
        <w:rPr>
          <w:bCs/>
          <w:b/>
        </w:rPr>
        <w:t xml:space="preserve">Functional Unit:</w:t>
      </w:r>
      <w:r>
        <w:t xml:space="preserve"> </w:t>
      </w:r>
      <w:r>
        <w:t xml:space="preserve">1.0 unit</w:t>
      </w:r>
    </w:p>
    <w:p>
      <w:pPr>
        <w:numPr>
          <w:ilvl w:val="0"/>
          <w:numId w:val="1001"/>
        </w:numPr>
        <w:pStyle w:val="Compact"/>
      </w:pPr>
      <w:r>
        <w:rPr>
          <w:bCs/>
          <w:b/>
        </w:rPr>
        <w:t xml:space="preserve">System Boundary:</w:t>
      </w:r>
      <w:r>
        <w:t xml:space="preserve"> </w:t>
      </w:r>
      <w:r>
        <w:t xml:space="preserve">factory_gate (extended to cradle-to-grave)</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w:t>
      </w:r>
    </w:p>
    <w:bookmarkEnd w:id="32"/>
    <w:bookmarkStart w:id="33" w:name="secondary-data-emission-factors"/>
    <w:p>
      <w:pPr>
        <w:pStyle w:val="Heading3"/>
      </w:pPr>
      <w:r>
        <w:t xml:space="preserve">3.2 Secondary Data (Emission Factors)</w:t>
      </w:r>
    </w:p>
    <w:p>
      <w:pPr>
        <w:pStyle w:val="FirstParagraph"/>
      </w:pPr>
      <w:r>
        <w:t xml:space="preserve">For processes and energy sources not explicitly covered by primary data, industry-standard emission factors were sourced from reputable databases such as Ecoinvent and DEFRA. These include factors for electricity grids (e.g., China grid mix), general transport modes, and disposal processes.</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Category</w:t>
            </w:r>
          </w:p>
        </w:tc>
        <w:tc>
          <w:tcPr/>
          <w:p>
            <w:pPr>
              <w:pStyle w:val="Compact"/>
              <w:jc w:val="left"/>
            </w:pPr>
            <w:r>
              <w:t xml:space="preserve">Activity</w:t>
            </w:r>
          </w:p>
        </w:tc>
        <w:tc>
          <w:tcPr/>
          <w:p>
            <w:pPr>
              <w:pStyle w:val="Compact"/>
              <w:jc w:val="left"/>
            </w:pPr>
            <w:r>
              <w:t xml:space="preserve">Unit</w:t>
            </w:r>
          </w:p>
        </w:tc>
        <w:tc>
          <w:tcPr/>
          <w:p>
            <w:pPr>
              <w:pStyle w:val="Compact"/>
              <w:jc w:val="left"/>
            </w:pPr>
            <w:r>
              <w:t xml:space="preserve">Default Emission Factor (kgCO2e/unit)</w:t>
            </w:r>
          </w:p>
        </w:tc>
        <w:tc>
          <w:tcPr/>
          <w:p>
            <w:pPr>
              <w:pStyle w:val="Compact"/>
              <w:jc w:val="left"/>
            </w:pPr>
            <w:r>
              <w:t xml:space="preserve">Source</w:t>
            </w:r>
          </w:p>
        </w:tc>
      </w:tr>
      <w:tr>
        <w:tc>
          <w:tcPr/>
          <w:p>
            <w:pPr>
              <w:pStyle w:val="Compact"/>
              <w:jc w:val="left"/>
            </w:pPr>
            <w:r>
              <w:t xml:space="preserve">Electricity (China Grid Mix)</w:t>
            </w:r>
          </w:p>
        </w:tc>
        <w:tc>
          <w:tcPr/>
          <w:p>
            <w:pPr>
              <w:pStyle w:val="Compact"/>
              <w:jc w:val="left"/>
            </w:pPr>
            <w:r>
              <w:t xml:space="preserve">Production</w:t>
            </w:r>
          </w:p>
        </w:tc>
        <w:tc>
          <w:tcPr/>
          <w:p>
            <w:pPr>
              <w:pStyle w:val="Compact"/>
              <w:jc w:val="left"/>
            </w:pPr>
            <w:r>
              <w:t xml:space="preserve">kWh</w:t>
            </w:r>
          </w:p>
        </w:tc>
        <w:tc>
          <w:tcPr/>
          <w:p>
            <w:pPr>
              <w:pStyle w:val="Compact"/>
              <w:jc w:val="left"/>
            </w:pPr>
            <w:r>
              <w:t xml:space="preserve">0.6-0.8 (average)</w:t>
            </w:r>
          </w:p>
        </w:tc>
        <w:tc>
          <w:tcPr/>
          <w:p>
            <w:pPr>
              <w:pStyle w:val="Compact"/>
              <w:jc w:val="left"/>
            </w:pPr>
            <w:r>
              <w:t xml:space="preserve">Ecoinvent/IEA</w:t>
            </w:r>
          </w:p>
        </w:tc>
      </w:tr>
      <w:tr>
        <w:tc>
          <w:tcPr/>
          <w:p>
            <w:pPr>
              <w:pStyle w:val="Compact"/>
              <w:jc w:val="left"/>
            </w:pPr>
            <w:r>
              <w:t xml:space="preserve">Road Freight (HGV &gt; 32t)</w:t>
            </w:r>
          </w:p>
        </w:tc>
        <w:tc>
          <w:tcPr/>
          <w:p>
            <w:pPr>
              <w:pStyle w:val="Compact"/>
              <w:jc w:val="left"/>
            </w:pPr>
            <w:r>
              <w:t xml:space="preserve">Transport (per tkm)</w:t>
            </w:r>
          </w:p>
        </w:tc>
        <w:tc>
          <w:tcPr/>
          <w:p>
            <w:pPr>
              <w:pStyle w:val="Compact"/>
              <w:jc w:val="left"/>
            </w:pPr>
            <w:r>
              <w:t xml:space="preserve">tkm</w:t>
            </w:r>
          </w:p>
        </w:tc>
        <w:tc>
          <w:tcPr/>
          <w:p>
            <w:pPr>
              <w:pStyle w:val="Compact"/>
              <w:jc w:val="left"/>
            </w:pPr>
            <w:r>
              <w:t xml:space="preserve">0.021</w:t>
            </w:r>
          </w:p>
        </w:tc>
        <w:tc>
          <w:tcPr/>
          <w:p>
            <w:pPr>
              <w:pStyle w:val="Compact"/>
              <w:jc w:val="left"/>
            </w:pPr>
            <w:r>
              <w:t xml:space="preserve">DEFRA/Ecoinvent</w:t>
            </w:r>
          </w:p>
        </w:tc>
      </w:tr>
      <w:tr>
        <w:tc>
          <w:tcPr/>
          <w:p>
            <w:pPr>
              <w:pStyle w:val="Compact"/>
              <w:jc w:val="left"/>
            </w:pPr>
            <w:r>
              <w:t xml:space="preserve">Light Commercial Van</w:t>
            </w:r>
          </w:p>
        </w:tc>
        <w:tc>
          <w:tcPr/>
          <w:p>
            <w:pPr>
              <w:pStyle w:val="Compact"/>
              <w:jc w:val="left"/>
            </w:pPr>
            <w:r>
              <w:t xml:space="preserve">Transport (per tkm)</w:t>
            </w:r>
          </w:p>
        </w:tc>
        <w:tc>
          <w:tcPr/>
          <w:p>
            <w:pPr>
              <w:pStyle w:val="Compact"/>
              <w:jc w:val="left"/>
            </w:pPr>
            <w:r>
              <w:t xml:space="preserve">tkm</w:t>
            </w:r>
          </w:p>
        </w:tc>
        <w:tc>
          <w:tcPr/>
          <w:p>
            <w:pPr>
              <w:pStyle w:val="Compact"/>
              <w:jc w:val="left"/>
            </w:pPr>
            <w:r>
              <w:t xml:space="preserve">0.150</w:t>
            </w:r>
          </w:p>
        </w:tc>
        <w:tc>
          <w:tcPr/>
          <w:p>
            <w:pPr>
              <w:pStyle w:val="Compact"/>
              <w:jc w:val="left"/>
            </w:pPr>
            <w:r>
              <w:t xml:space="preserve">DEFRA/Ecoinvent</w:t>
            </w:r>
          </w:p>
        </w:tc>
      </w:tr>
      <w:tr>
        <w:tc>
          <w:tcPr/>
          <w:p>
            <w:pPr>
              <w:pStyle w:val="Compact"/>
              <w:jc w:val="left"/>
            </w:pPr>
            <w:r>
              <w:t xml:space="preserve">Waste to Landfill (mixed)</w:t>
            </w:r>
          </w:p>
        </w:tc>
        <w:tc>
          <w:tcPr/>
          <w:p>
            <w:pPr>
              <w:pStyle w:val="Compact"/>
              <w:jc w:val="left"/>
            </w:pPr>
            <w:r>
              <w:t xml:space="preserve">Disposal (per kg)</w:t>
            </w:r>
          </w:p>
        </w:tc>
        <w:tc>
          <w:tcPr/>
          <w:p>
            <w:pPr>
              <w:pStyle w:val="Compact"/>
              <w:jc w:val="left"/>
            </w:pPr>
            <w:r>
              <w:t xml:space="preserve">kg</w:t>
            </w:r>
          </w:p>
        </w:tc>
        <w:tc>
          <w:tcPr/>
          <w:p>
            <w:pPr>
              <w:pStyle w:val="Compact"/>
              <w:jc w:val="left"/>
            </w:pPr>
            <w:r>
              <w:t xml:space="preserve">0.015-0.05</w:t>
            </w:r>
          </w:p>
        </w:tc>
        <w:tc>
          <w:tcPr/>
          <w:p>
            <w:pPr>
              <w:pStyle w:val="Compact"/>
              <w:jc w:val="left"/>
            </w:pPr>
            <w:r>
              <w:t xml:space="preserve">Ecoinvent</w:t>
            </w:r>
          </w:p>
        </w:tc>
      </w:tr>
      <w:tr>
        <w:tc>
          <w:tcPr/>
          <w:p>
            <w:pPr>
              <w:pStyle w:val="Compact"/>
              <w:jc w:val="left"/>
            </w:pPr>
            <w:r>
              <w:t xml:space="preserve">Recycling (avoided emissions)</w:t>
            </w:r>
          </w:p>
        </w:tc>
        <w:tc>
          <w:tcPr/>
          <w:p>
            <w:pPr>
              <w:pStyle w:val="Compact"/>
              <w:jc w:val="left"/>
            </w:pPr>
            <w:r>
              <w:t xml:space="preserve">Recovery (per kg)</w:t>
            </w:r>
          </w:p>
        </w:tc>
        <w:tc>
          <w:tcPr/>
          <w:p>
            <w:pPr>
              <w:pStyle w:val="Compact"/>
              <w:jc w:val="left"/>
            </w:pPr>
            <w:r>
              <w:t xml:space="preserve">kg</w:t>
            </w:r>
          </w:p>
        </w:tc>
        <w:tc>
          <w:tcPr/>
          <w:p>
            <w:pPr>
              <w:pStyle w:val="Compact"/>
              <w:jc w:val="left"/>
            </w:pPr>
            <w:r>
              <w:t xml:space="preserve">Varies by material</w:t>
            </w:r>
          </w:p>
        </w:tc>
        <w:tc>
          <w:tcPr/>
          <w:p>
            <w:pPr>
              <w:pStyle w:val="Compact"/>
              <w:jc w:val="left"/>
            </w:pPr>
            <w:r>
              <w:t xml:space="preserve">Ecoinvent</w:t>
            </w:r>
          </w:p>
        </w:tc>
      </w:tr>
    </w:tbl>
    <w:p>
      <w:r>
        <w:pict>
          <v:rect style="width:0;height:1.5pt" o:hralign="center" o:hrstd="t" o:hr="t"/>
        </w:pict>
      </w:r>
    </w:p>
    <w:bookmarkEnd w:id="33"/>
    <w:bookmarkEnd w:id="34"/>
    <w:bookmarkStart w:id="44" w:name="X439a6e6dcb43c636bf515ffaf3f59bce0bd6490"/>
    <w:p>
      <w:pPr>
        <w:pStyle w:val="Heading2"/>
      </w:pPr>
      <w:r>
        <w:t xml:space="preserve">4. Emission Calculation (Activity * Emission Factor = CO2e)</w:t>
      </w:r>
    </w:p>
    <w:p>
      <w:pPr>
        <w:pStyle w:val="FirstParagraph"/>
      </w:pPr>
      <w:r>
        <w:t xml:space="preserve">Emissions are calculated for each stage of the product\'s lifecycle and categorized according to the GHG Protocol\'s Scope 1, Scope 2, and Scope 3 definitions. The 2026 Land Sector and Removals (LSR) Standard is acknowledged and integrated where applicable, particularly concerning land-use change and biogenic carbon removals.</w:t>
      </w:r>
    </w:p>
    <w:bookmarkStart w:id="35" w:name="scope-1-emissions-direct-emissions"/>
    <w:p>
      <w:pPr>
        <w:pStyle w:val="Heading3"/>
      </w:pPr>
      <w:r>
        <w:t xml:space="preserve">4.1 Scope 1 Emissions (Direct Emissions)</w:t>
      </w:r>
    </w:p>
    <w:p>
      <w:pPr>
        <w:pStyle w:val="FirstParagraph"/>
      </w:pPr>
      <w:r>
        <w:t xml:space="preserve">For zmwmsiqvgf\'s operations, Scope 1 emissions would typically include direct emissions from company-owned or controlled sources (e.g., natural gas combustion in boilers, company vehicles). Assuming the manufacturing facility in China has minor direct fuel combustion and operates primarily on purchased electricity, significant Scope 1 emissions for a single product\'s PCF are assumed to be negligible or folded into Scope 2 for simplicity of manufacturing stage unless specific data is provided.</w:t>
      </w:r>
    </w:p>
    <w:p>
      <w:pPr>
        <w:numPr>
          <w:ilvl w:val="0"/>
          <w:numId w:val="1002"/>
        </w:numPr>
        <w:pStyle w:val="Compact"/>
      </w:pPr>
      <w:r>
        <w:rPr>
          <w:bCs/>
          <w:b/>
        </w:rPr>
        <w:t xml:space="preserve">Estimated Scope 1 Emissions:</w:t>
      </w:r>
      <w:r>
        <w:t xml:space="preserve"> </w:t>
      </w:r>
      <w:r>
        <w:t xml:space="preserve">&lt; 0.01 kg CO2e/unit (Assumed negligible for product-level direct combustion)</w:t>
      </w:r>
    </w:p>
    <w:bookmarkEnd w:id="35"/>
    <w:bookmarkStart w:id="36" w:name="scope-2-emissions-purchased-energy"/>
    <w:p>
      <w:pPr>
        <w:pStyle w:val="Heading3"/>
      </w:pPr>
      <w:r>
        <w:t xml:space="preserve">4.2 Scope 2 Emissions (Purchased Energy)</w:t>
      </w:r>
    </w:p>
    <w:p>
      <w:pPr>
        <w:pStyle w:val="FirstParagraph"/>
      </w:pPr>
      <w:r>
        <w:t xml:space="preserve">Scope 2 emissions are generated from the consumption of purchased electricity, heat, or steam. For the EcoWidget Pro\'s manufacturing phase, this is a significant contributor.</w:t>
      </w:r>
    </w:p>
    <w:p>
      <w:pPr>
        <w:numPr>
          <w:ilvl w:val="0"/>
          <w:numId w:val="1003"/>
        </w:numPr>
        <w:pStyle w:val="Compact"/>
      </w:pPr>
      <w:r>
        <w:t xml:space="preserve">Energy Intensity: 5.0 kWh/unit</w:t>
      </w:r>
    </w:p>
    <w:p>
      <w:pPr>
        <w:numPr>
          <w:ilvl w:val="0"/>
          <w:numId w:val="1003"/>
        </w:numPr>
        <w:pStyle w:val="Compact"/>
      </w:pPr>
      <w:r>
        <w:t xml:space="preserve">Renewable Energy Usage: 75%</w:t>
      </w:r>
    </w:p>
    <w:p>
      <w:pPr>
        <w:numPr>
          <w:ilvl w:val="0"/>
          <w:numId w:val="1003"/>
        </w:numPr>
        <w:pStyle w:val="Compact"/>
      </w:pPr>
      <w:r>
        <w:t xml:space="preserve">Non-renewable Energy Share: 25%</w:t>
      </w:r>
    </w:p>
    <w:p>
      <w:pPr>
        <w:numPr>
          <w:ilvl w:val="0"/>
          <w:numId w:val="1003"/>
        </w:numPr>
        <w:pStyle w:val="Compact"/>
      </w:pPr>
      <w:r>
        <w:t xml:space="preserve">China Grid Emission Factor: 0.7 kgCO2e/kWh (Assumed average for non-renewable portion)</w:t>
      </w:r>
    </w:p>
    <w:p>
      <w:pPr>
        <w:numPr>
          <w:ilvl w:val="0"/>
          <w:numId w:val="1003"/>
        </w:numPr>
        <w:pStyle w:val="Compact"/>
      </w:pPr>
      <w:r>
        <w:rPr>
          <w:bCs/>
          <w:b/>
        </w:rPr>
        <w:t xml:space="preserve">Calculation:</w:t>
      </w:r>
      <w:r>
        <w:t xml:space="preserve"> </w:t>
      </w:r>
      <w:r>
        <w:t xml:space="preserve">(5.0 kWh/unit * 0.25) * 0.7 kgCO2e/kWh = 0.875 kgCO2e/unit</w:t>
      </w:r>
    </w:p>
    <w:p>
      <w:pPr>
        <w:numPr>
          <w:ilvl w:val="0"/>
          <w:numId w:val="1003"/>
        </w:numPr>
        <w:pStyle w:val="Compact"/>
      </w:pPr>
      <w:r>
        <w:rPr>
          <w:bCs/>
          <w:b/>
        </w:rPr>
        <w:t xml:space="preserve">Scope 2 Emissions (Manufacturing):</w:t>
      </w:r>
      <w:r>
        <w:t xml:space="preserve"> </w:t>
      </w:r>
      <w:r>
        <w:t xml:space="preserve">0.875 kg CO2e/unit</w:t>
      </w:r>
    </w:p>
    <w:bookmarkEnd w:id="36"/>
    <w:bookmarkStart w:id="41" w:name="scope-3-emissions-value-chain"/>
    <w:p>
      <w:pPr>
        <w:pStyle w:val="Heading3"/>
      </w:pPr>
      <w:r>
        <w:t xml:space="preserve">4.3 Scope 3 Emissions (Value Chain)</w:t>
      </w:r>
    </w:p>
    <w:p>
      <w:pPr>
        <w:pStyle w:val="FirstParagraph"/>
      </w:pPr>
      <w:r>
        <w:t xml:space="preserve">Scope 3 emissions represent the largest portion of a product\'s carbon footprint, covering all indirect emissions up and down the value chain. As per 2026 requirements, at least 95% coverage for Scope 3 reporting is targeted.</w:t>
      </w:r>
    </w:p>
    <w:bookmarkStart w:id="37" w:name="Xcee02afbbe6cc3bc7c750f7d3c9ec908ee316a9"/>
    <w:p>
      <w:pPr>
        <w:pStyle w:val="Heading4"/>
      </w:pPr>
      <w:r>
        <w:t xml:space="preserve">4.3.1 Material Acquisition &amp; Pre-processing (Scope 3, Upstream)</w:t>
      </w:r>
    </w:p>
    <w:p>
      <w:pPr>
        <w:pStyle w:val="FirstParagraph"/>
      </w:pPr>
      <w:r>
        <w:t xml:space="preserve">Based on the provided BOM, the \'Total Carbon\' values are summed to determine this impact.</w:t>
      </w:r>
    </w:p>
    <w:p>
      <w:pPr>
        <w:numPr>
          <w:ilvl w:val="0"/>
          <w:numId w:val="1004"/>
        </w:numPr>
        <w:pStyle w:val="Compact"/>
      </w:pPr>
      <w:r>
        <w:t xml:space="preserve">Aluminum Casing: 3.5 kgCO2e</w:t>
      </w:r>
    </w:p>
    <w:p>
      <w:pPr>
        <w:numPr>
          <w:ilvl w:val="0"/>
          <w:numId w:val="1004"/>
        </w:numPr>
        <w:pStyle w:val="Compact"/>
      </w:pPr>
      <w:r>
        <w:t xml:space="preserve">Recycled Plastic Housing: 0.3 kgCO2e</w:t>
      </w:r>
    </w:p>
    <w:p>
      <w:pPr>
        <w:numPr>
          <w:ilvl w:val="0"/>
          <w:numId w:val="1004"/>
        </w:numPr>
        <w:pStyle w:val="Compact"/>
      </w:pPr>
      <w:r>
        <w:t xml:space="preserve">Circuit Board: 0.8 kgCO2e</w:t>
      </w:r>
    </w:p>
    <w:p>
      <w:pPr>
        <w:numPr>
          <w:ilvl w:val="0"/>
          <w:numId w:val="1004"/>
        </w:numPr>
        <w:pStyle w:val="Compact"/>
      </w:pPr>
      <w:r>
        <w:t xml:space="preserve">Lithium-ion Battery: 1.2 kgCO2e</w:t>
      </w:r>
    </w:p>
    <w:p>
      <w:pPr>
        <w:numPr>
          <w:ilvl w:val="0"/>
          <w:numId w:val="1004"/>
        </w:numPr>
        <w:pStyle w:val="Compact"/>
      </w:pPr>
      <w:r>
        <w:t xml:space="preserve">Packaging Cardboard: 0.025 kgCO2e</w:t>
      </w:r>
    </w:p>
    <w:p>
      <w:pPr>
        <w:numPr>
          <w:ilvl w:val="0"/>
          <w:numId w:val="1004"/>
        </w:numPr>
        <w:pStyle w:val="Compact"/>
      </w:pPr>
      <w:r>
        <w:rPr>
          <w:bCs/>
          <w:b/>
        </w:rPr>
        <w:t xml:space="preserve">Total Material Emissions:</w:t>
      </w:r>
      <w:r>
        <w:t xml:space="preserve"> </w:t>
      </w:r>
      <w:r>
        <w:t xml:space="preserve">3.5 + 0.3 + 0.8 + 1.2 + 0.025 = 5.525 kg CO2e/unit</w:t>
      </w:r>
    </w:p>
    <w:bookmarkEnd w:id="37"/>
    <w:bookmarkStart w:id="38" w:name="X2b2c834e6b90e496e05f81082af104a2bf44fe0"/>
    <w:p>
      <w:pPr>
        <w:pStyle w:val="Heading4"/>
      </w:pPr>
      <w:r>
        <w:t xml:space="preserve">4.3.2 Transport and Distribution (Scope 3, Upstream &amp; Downstream)</w:t>
      </w:r>
    </w:p>
    <w:p>
      <w:pPr>
        <w:pStyle w:val="FirstParagraph"/>
      </w:pPr>
      <w:r>
        <w:t xml:space="preserve">This includes primary transport of materials to the factory and distribution of the finished product.</w:t>
      </w:r>
    </w:p>
    <w:p>
      <w:pPr>
        <w:pStyle w:val="BodyText"/>
      </w:pPr>
      <w:r>
        <w:rPr>
          <w:bCs/>
          <w:b/>
        </w:rPr>
        <w:t xml:space="preserve">Upstream Transport (to factory in China, average from Europe):</w:t>
      </w:r>
    </w:p>
    <w:p>
      <w:pPr>
        <w:numPr>
          <w:ilvl w:val="0"/>
          <w:numId w:val="1005"/>
        </w:numPr>
        <w:pStyle w:val="Compact"/>
      </w:pPr>
      <w:r>
        <w:t xml:space="preserve">Average product weight (for transport, assuming finished product weight ~ 0.88 kg): 0.88 kg</w:t>
      </w:r>
    </w:p>
    <w:p>
      <w:pPr>
        <w:numPr>
          <w:ilvl w:val="0"/>
          <w:numId w:val="1005"/>
        </w:numPr>
        <w:pStyle w:val="Compact"/>
      </w:pPr>
      <w:r>
        <w:t xml:space="preserve">Transport Mode: Road Freight (HGV &gt; 32t)</w:t>
      </w:r>
    </w:p>
    <w:p>
      <w:pPr>
        <w:numPr>
          <w:ilvl w:val="0"/>
          <w:numId w:val="1005"/>
        </w:numPr>
        <w:pStyle w:val="Compact"/>
      </w:pPr>
      <w:r>
        <w:t xml:space="preserve">Transport Distance: 1500 km</w:t>
      </w:r>
    </w:p>
    <w:p>
      <w:pPr>
        <w:numPr>
          <w:ilvl w:val="0"/>
          <w:numId w:val="1005"/>
        </w:numPr>
        <w:pStyle w:val="Compact"/>
      </w:pPr>
      <w:r>
        <w:t xml:space="preserve">Emission Factor: 0.021 kgCO2e/tkm (for HGV)</w:t>
      </w:r>
    </w:p>
    <w:p>
      <w:pPr>
        <w:numPr>
          <w:ilvl w:val="0"/>
          <w:numId w:val="1005"/>
        </w:numPr>
        <w:pStyle w:val="Compact"/>
      </w:pPr>
      <w:r>
        <w:rPr>
          <w:bCs/>
          <w:b/>
        </w:rPr>
        <w:t xml:space="preserve">Calculation:</w:t>
      </w:r>
      <w:r>
        <w:t xml:space="preserve"> </w:t>
      </w:r>
      <w:r>
        <w:t xml:space="preserve">(0.88 kg / 1000) * 1500 km * 0.021 kgCO2e/tkm = 0.02772 kg CO2e/unit</w:t>
      </w:r>
    </w:p>
    <w:p>
      <w:pPr>
        <w:pStyle w:val="FirstParagraph"/>
      </w:pPr>
      <w:r>
        <w:rPr>
          <w:bCs/>
          <w:b/>
        </w:rPr>
        <w:t xml:space="preserve">Downstream Transport (Last-Mile Delivery):</w:t>
      </w:r>
    </w:p>
    <w:p>
      <w:pPr>
        <w:numPr>
          <w:ilvl w:val="0"/>
          <w:numId w:val="1006"/>
        </w:numPr>
        <w:pStyle w:val="Compact"/>
      </w:pPr>
      <w:r>
        <w:t xml:space="preserve">Transport Mode: Light Commercial Van</w:t>
      </w:r>
    </w:p>
    <w:p>
      <w:pPr>
        <w:numPr>
          <w:ilvl w:val="0"/>
          <w:numId w:val="1006"/>
        </w:numPr>
        <w:pStyle w:val="Compact"/>
      </w:pPr>
      <w:r>
        <w:t xml:space="preserve">Transport Distance: 50 km (Assumed)</w:t>
      </w:r>
    </w:p>
    <w:p>
      <w:pPr>
        <w:numPr>
          <w:ilvl w:val="0"/>
          <w:numId w:val="1006"/>
        </w:numPr>
        <w:pStyle w:val="Compact"/>
      </w:pPr>
      <w:r>
        <w:t xml:space="preserve">Emission Factor: 0.150 kgCO2e/tkm (for Van)</w:t>
      </w:r>
    </w:p>
    <w:p>
      <w:pPr>
        <w:numPr>
          <w:ilvl w:val="0"/>
          <w:numId w:val="1006"/>
        </w:numPr>
        <w:pStyle w:val="Compact"/>
      </w:pPr>
      <w:r>
        <w:rPr>
          <w:bCs/>
          <w:b/>
        </w:rPr>
        <w:t xml:space="preserve">Calculation:</w:t>
      </w:r>
      <w:r>
        <w:t xml:space="preserve"> </w:t>
      </w:r>
      <w:r>
        <w:t xml:space="preserve">(0.88 kg / 1000) * 50 km * 0.150 kgCO2e/tkm = 0.0066 kg CO2e/unit</w:t>
      </w:r>
    </w:p>
    <w:p>
      <w:pPr>
        <w:numPr>
          <w:ilvl w:val="0"/>
          <w:numId w:val="1006"/>
        </w:numPr>
        <w:pStyle w:val="Compact"/>
      </w:pPr>
      <w:r>
        <w:rPr>
          <w:bCs/>
          <w:b/>
        </w:rPr>
        <w:t xml:space="preserve">Total Transport Emissions:</w:t>
      </w:r>
      <w:r>
        <w:t xml:space="preserve"> </w:t>
      </w:r>
      <w:r>
        <w:t xml:space="preserve">0.02772 + 0.0066 = 0.03432 kg CO2e/unit</w:t>
      </w:r>
    </w:p>
    <w:bookmarkEnd w:id="38"/>
    <w:bookmarkStart w:id="39" w:name="use-phase-scope-3-downstream"/>
    <w:p>
      <w:pPr>
        <w:pStyle w:val="Heading4"/>
      </w:pPr>
      <w:r>
        <w:t xml:space="preserve">4.3.3 Use Phase (Scope 3, Downstream)</w:t>
      </w:r>
    </w:p>
    <w:p>
      <w:pPr>
        <w:pStyle w:val="FirstParagraph"/>
      </w:pPr>
      <w:r>
        <w:t xml:space="preserve">Emissions from product usage over its lifespan.</w:t>
      </w:r>
    </w:p>
    <w:p>
      <w:pPr>
        <w:numPr>
          <w:ilvl w:val="0"/>
          <w:numId w:val="1007"/>
        </w:numPr>
        <w:pStyle w:val="Compact"/>
      </w:pPr>
      <w:r>
        <w:t xml:space="preserve">Product Lifespan: 5 years</w:t>
      </w:r>
    </w:p>
    <w:p>
      <w:pPr>
        <w:numPr>
          <w:ilvl w:val="0"/>
          <w:numId w:val="1007"/>
        </w:numPr>
        <w:pStyle w:val="Compact"/>
      </w:pPr>
      <w:r>
        <w:t xml:space="preserve">Energy Consumption in Use: 10 kWh/year</w:t>
      </w:r>
    </w:p>
    <w:p>
      <w:pPr>
        <w:numPr>
          <w:ilvl w:val="0"/>
          <w:numId w:val="1007"/>
        </w:numPr>
        <w:pStyle w:val="Compact"/>
      </w:pPr>
      <w:r>
        <w:t xml:space="preserve">Total Energy Consumption: 5 years * 10 kWh/year = 50 kWh</w:t>
      </w:r>
    </w:p>
    <w:p>
      <w:pPr>
        <w:numPr>
          <w:ilvl w:val="0"/>
          <w:numId w:val="1007"/>
        </w:numPr>
        <w:pStyle w:val="Compact"/>
      </w:pPr>
      <w:r>
        <w:t xml:space="preserve">Assumed Grid Mix for Use Phase (Global Average): 0.5 kgCO2e/kWh</w:t>
      </w:r>
    </w:p>
    <w:p>
      <w:pPr>
        <w:numPr>
          <w:ilvl w:val="0"/>
          <w:numId w:val="1007"/>
        </w:numPr>
        <w:pStyle w:val="Compact"/>
      </w:pPr>
      <w:r>
        <w:rPr>
          <w:bCs/>
          <w:b/>
        </w:rPr>
        <w:t xml:space="preserve">Calculation:</w:t>
      </w:r>
      <w:r>
        <w:t xml:space="preserve"> </w:t>
      </w:r>
      <w:r>
        <w:t xml:space="preserve">50 kWh * 0.5 kgCO2e/kWh = 25.0 kg CO2e/unit</w:t>
      </w:r>
    </w:p>
    <w:bookmarkEnd w:id="39"/>
    <w:bookmarkStart w:id="40" w:name="end-of-life-eol-scope-3-downstream"/>
    <w:p>
      <w:pPr>
        <w:pStyle w:val="Heading4"/>
      </w:pPr>
      <w:r>
        <w:t xml:space="preserve">4.3.4 End-of-Life (EoL) (Scope 3, Downstream)</w:t>
      </w:r>
    </w:p>
    <w:p>
      <w:pPr>
        <w:pStyle w:val="FirstParagraph"/>
      </w:pPr>
      <w:r>
        <w:t xml:space="preserve">Impacts from disposal and recycling. Recyclability reduces net emissions.</w:t>
      </w:r>
    </w:p>
    <w:p>
      <w:pPr>
        <w:numPr>
          <w:ilvl w:val="0"/>
          <w:numId w:val="1008"/>
        </w:numPr>
        <w:pStyle w:val="Compact"/>
      </w:pPr>
      <w:r>
        <w:t xml:space="preserve">Recyclability Percentage: 80%</w:t>
      </w:r>
    </w:p>
    <w:p>
      <w:pPr>
        <w:numPr>
          <w:ilvl w:val="0"/>
          <w:numId w:val="1008"/>
        </w:numPr>
        <w:pStyle w:val="Compact"/>
      </w:pPr>
      <w:r>
        <w:t xml:space="preserve">Circular/Take-back Programs: Yes, established program</w:t>
      </w:r>
    </w:p>
    <w:p>
      <w:pPr>
        <w:numPr>
          <w:ilvl w:val="0"/>
          <w:numId w:val="1008"/>
        </w:numPr>
        <w:pStyle w:val="Compact"/>
      </w:pPr>
      <w:r>
        <w:t xml:space="preserve">Product Mass: 0.88 kg (sum of BOM quantities)</w:t>
      </w:r>
    </w:p>
    <w:p>
      <w:pPr>
        <w:numPr>
          <w:ilvl w:val="0"/>
          <w:numId w:val="1008"/>
        </w:numPr>
        <w:pStyle w:val="Compact"/>
      </w:pPr>
      <w:r>
        <w:t xml:space="preserve">Recycled Mass: 0.88 kg * 0.80 = 0.704 kg</w:t>
      </w:r>
    </w:p>
    <w:p>
      <w:pPr>
        <w:numPr>
          <w:ilvl w:val="0"/>
          <w:numId w:val="1008"/>
        </w:numPr>
        <w:pStyle w:val="Compact"/>
      </w:pPr>
      <w:r>
        <w:t xml:space="preserve">Disposed Mass: 0.88 kg * 0.20 = 0.176 kg</w:t>
      </w:r>
    </w:p>
    <w:p>
      <w:pPr>
        <w:numPr>
          <w:ilvl w:val="0"/>
          <w:numId w:val="1008"/>
        </w:numPr>
        <w:pStyle w:val="Compact"/>
      </w:pPr>
      <w:r>
        <w:t xml:space="preserve">Assumed avoided emissions from recycling: -1.0 kgCO2e/kg (for mixed materials, highly variable, simplified for report)</w:t>
      </w:r>
    </w:p>
    <w:p>
      <w:pPr>
        <w:numPr>
          <w:ilvl w:val="0"/>
          <w:numId w:val="1008"/>
        </w:numPr>
        <w:pStyle w:val="Compact"/>
      </w:pPr>
      <w:r>
        <w:t xml:space="preserve">Assumed emissions from landfill: 0.03 kgCO2e/kg (for mixed waste)</w:t>
      </w:r>
    </w:p>
    <w:p>
      <w:pPr>
        <w:numPr>
          <w:ilvl w:val="0"/>
          <w:numId w:val="1008"/>
        </w:numPr>
        <w:pStyle w:val="Compact"/>
      </w:pPr>
      <w:r>
        <w:rPr>
          <w:bCs/>
          <w:b/>
        </w:rPr>
        <w:t xml:space="preserve">Calculation (Recycling Benefit):</w:t>
      </w:r>
      <w:r>
        <w:t xml:space="preserve"> </w:t>
      </w:r>
      <w:r>
        <w:t xml:space="preserve">0.704 kg * -1.0 kgCO2e/kg = -0.704 kgCO2e</w:t>
      </w:r>
    </w:p>
    <w:p>
      <w:pPr>
        <w:numPr>
          <w:ilvl w:val="0"/>
          <w:numId w:val="1008"/>
        </w:numPr>
        <w:pStyle w:val="Compact"/>
      </w:pPr>
      <w:r>
        <w:rPr>
          <w:bCs/>
          <w:b/>
        </w:rPr>
        <w:t xml:space="preserve">Calculation (Disposal Emissions):</w:t>
      </w:r>
      <w:r>
        <w:t xml:space="preserve"> </w:t>
      </w:r>
      <w:r>
        <w:t xml:space="preserve">0.176 kg * 0.03 kgCO2e/kg = 0.00528 kgCO2e</w:t>
      </w:r>
    </w:p>
    <w:p>
      <w:pPr>
        <w:numPr>
          <w:ilvl w:val="0"/>
          <w:numId w:val="1008"/>
        </w:numPr>
        <w:pStyle w:val="Compact"/>
      </w:pPr>
      <w:r>
        <w:rPr>
          <w:bCs/>
          <w:b/>
        </w:rPr>
        <w:t xml:space="preserve">Net EoL Emissions:</w:t>
      </w:r>
      <w:r>
        <w:t xml:space="preserve"> </w:t>
      </w:r>
      <w:r>
        <w:t xml:space="preserve">-0.704 + 0.00528 = -0.69872 kg CO2e/unit (Net negative due to high recycling rate and avoided emissions)</w:t>
      </w:r>
    </w:p>
    <w:bookmarkEnd w:id="40"/>
    <w:bookmarkEnd w:id="41"/>
    <w:bookmarkStart w:id="42" w:name="summary-of-product-carbon-footprint-pcf"/>
    <w:p>
      <w:pPr>
        <w:pStyle w:val="Heading3"/>
      </w:pPr>
      <w:r>
        <w:t xml:space="preserve">4.4 Summary of Product Carbon Footprint (PCF)</w:t>
      </w:r>
    </w:p>
    <w:p>
      <w:pPr>
        <w:pStyle w:val="FirstParagraph"/>
      </w:pPr>
      <w:r>
        <w:t xml:space="preserve">The total PCF for one functional unit of EcoWidget Pro is the sum of emissions from all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 &amp; Stage</w:t>
            </w:r>
          </w:p>
        </w:tc>
        <w:tc>
          <w:tcPr/>
          <w:p>
            <w:pPr>
              <w:pStyle w:val="Compact"/>
              <w:jc w:val="left"/>
            </w:pPr>
            <w:r>
              <w:t xml:space="preserve">Calculated CO2e (kg/unit)</w:t>
            </w:r>
          </w:p>
        </w:tc>
        <w:tc>
          <w:tcPr/>
          <w:p>
            <w:pPr>
              <w:pStyle w:val="Compact"/>
              <w:jc w:val="left"/>
            </w:pPr>
            <w:r>
              <w:t xml:space="preserve">Percentage of Total (%)</w:t>
            </w:r>
          </w:p>
        </w:tc>
      </w:tr>
      <w:tr>
        <w:tc>
          <w:tcPr/>
          <w:p>
            <w:pPr>
              <w:pStyle w:val="Compact"/>
              <w:jc w:val="left"/>
            </w:pPr>
            <w:r>
              <w:rPr>
                <w:bCs/>
                <w:b/>
              </w:rPr>
              <w:t xml:space="preserve">Scope 1 (Direct)</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Energy - Manufacturing)</w:t>
            </w:r>
          </w:p>
        </w:tc>
        <w:tc>
          <w:tcPr/>
          <w:p>
            <w:pPr>
              <w:pStyle w:val="Compact"/>
              <w:jc w:val="left"/>
            </w:pPr>
            <w:r>
              <w:t xml:space="preserve">0.875</w:t>
            </w:r>
          </w:p>
        </w:tc>
        <w:tc>
          <w:tcPr/>
          <w:p>
            <w:pPr>
              <w:pStyle w:val="Compact"/>
              <w:jc w:val="left"/>
            </w:pPr>
            <w:r>
              <w:t xml:space="preserve">3.36%</w:t>
            </w:r>
          </w:p>
        </w:tc>
      </w:tr>
      <w:tr>
        <w:tc>
          <w:tcPr/>
          <w:p>
            <w:pPr>
              <w:pStyle w:val="Compact"/>
              <w:jc w:val="left"/>
            </w:pPr>
            <w:r>
              <w:rPr>
                <w:bCs/>
                <w:b/>
              </w:rPr>
              <w:t xml:space="preserve">Scope 3 (Value Chain):</w:t>
            </w:r>
          </w:p>
        </w:tc>
        <w:tc>
          <w:tcPr/>
          <w:p>
            <w:pPr>
              <w:pStyle w:val="Compact"/>
            </w:pPr>
          </w:p>
        </w:tc>
        <w:tc>
          <w:tcPr/>
          <w:p>
            <w:pPr>
              <w:pStyle w:val="Compact"/>
            </w:pPr>
          </w:p>
        </w:tc>
      </w:tr>
      <w:tr>
        <w:tc>
          <w:tcPr/>
          <w:p>
            <w:pPr>
              <w:pStyle w:val="Compact"/>
              <w:jc w:val="left"/>
            </w:pPr>
            <w:r>
              <w:t xml:space="preserve">    Material Acquisition &amp; Pre-processing</w:t>
            </w:r>
          </w:p>
        </w:tc>
        <w:tc>
          <w:tcPr/>
          <w:p>
            <w:pPr>
              <w:pStyle w:val="Compact"/>
              <w:jc w:val="left"/>
            </w:pPr>
            <w:r>
              <w:t xml:space="preserve">5.525</w:t>
            </w:r>
          </w:p>
        </w:tc>
        <w:tc>
          <w:tcPr/>
          <w:p>
            <w:pPr>
              <w:pStyle w:val="Compact"/>
              <w:jc w:val="left"/>
            </w:pPr>
            <w:r>
              <w:t xml:space="preserve">21.23%</w:t>
            </w:r>
          </w:p>
        </w:tc>
      </w:tr>
      <w:tr>
        <w:tc>
          <w:tcPr/>
          <w:p>
            <w:pPr>
              <w:pStyle w:val="Compact"/>
              <w:jc w:val="left"/>
            </w:pPr>
            <w:r>
              <w:t xml:space="preserve">    Transport &amp; Distribution</w:t>
            </w:r>
          </w:p>
        </w:tc>
        <w:tc>
          <w:tcPr/>
          <w:p>
            <w:pPr>
              <w:pStyle w:val="Compact"/>
              <w:jc w:val="left"/>
            </w:pPr>
            <w:r>
              <w:t xml:space="preserve">0.034</w:t>
            </w:r>
          </w:p>
        </w:tc>
        <w:tc>
          <w:tcPr/>
          <w:p>
            <w:pPr>
              <w:pStyle w:val="Compact"/>
              <w:jc w:val="left"/>
            </w:pPr>
            <w:r>
              <w:t xml:space="preserve">0.13%</w:t>
            </w:r>
          </w:p>
        </w:tc>
      </w:tr>
      <w:tr>
        <w:tc>
          <w:tcPr/>
          <w:p>
            <w:pPr>
              <w:pStyle w:val="Compact"/>
              <w:jc w:val="left"/>
            </w:pPr>
            <w:r>
              <w:t xml:space="preserve">    Use Phase</w:t>
            </w:r>
          </w:p>
        </w:tc>
        <w:tc>
          <w:tcPr/>
          <w:p>
            <w:pPr>
              <w:pStyle w:val="Compact"/>
              <w:jc w:val="left"/>
            </w:pPr>
            <w:r>
              <w:t xml:space="preserve">25.000</w:t>
            </w:r>
          </w:p>
        </w:tc>
        <w:tc>
          <w:tcPr/>
          <w:p>
            <w:pPr>
              <w:pStyle w:val="Compact"/>
              <w:jc w:val="left"/>
            </w:pPr>
            <w:r>
              <w:t xml:space="preserve">96.06%</w:t>
            </w:r>
          </w:p>
        </w:tc>
      </w:tr>
      <w:tr>
        <w:tc>
          <w:tcPr/>
          <w:p>
            <w:pPr>
              <w:pStyle w:val="Compact"/>
              <w:jc w:val="left"/>
            </w:pPr>
            <w:r>
              <w:t xml:space="preserve">    End-of-Life (Net)</w:t>
            </w:r>
          </w:p>
        </w:tc>
        <w:tc>
          <w:tcPr/>
          <w:p>
            <w:pPr>
              <w:pStyle w:val="Compact"/>
              <w:jc w:val="left"/>
            </w:pPr>
            <w:r>
              <w:t xml:space="preserve">-0.699</w:t>
            </w:r>
          </w:p>
        </w:tc>
        <w:tc>
          <w:tcPr/>
          <w:p>
            <w:pPr>
              <w:pStyle w:val="Compact"/>
              <w:jc w:val="left"/>
            </w:pPr>
            <w:r>
              <w:t xml:space="preserve">-2.69%</w:t>
            </w:r>
          </w:p>
        </w:tc>
      </w:tr>
      <w:tr>
        <w:tc>
          <w:tcPr/>
          <w:p>
            <w:pPr>
              <w:pStyle w:val="Compact"/>
              <w:jc w:val="left"/>
            </w:pPr>
            <w:r>
              <w:rPr>
                <w:bCs/>
                <w:b/>
              </w:rPr>
              <w:t xml:space="preserve">Total Product Carbon Footprint</w:t>
            </w:r>
          </w:p>
        </w:tc>
        <w:tc>
          <w:tcPr/>
          <w:p>
            <w:pPr>
              <w:pStyle w:val="Compact"/>
              <w:jc w:val="left"/>
            </w:pPr>
            <w:r>
              <w:rPr>
                <w:bCs/>
                <w:b/>
              </w:rPr>
              <w:t xml:space="preserve">30.735</w:t>
            </w:r>
          </w:p>
        </w:tc>
        <w:tc>
          <w:tcPr/>
          <w:p>
            <w:pPr>
              <w:pStyle w:val="Compact"/>
              <w:jc w:val="left"/>
            </w:pPr>
            <w:r>
              <w:rPr>
                <w:bCs/>
                <w:b/>
              </w:rPr>
              <w:t xml:space="preserve">100%</w:t>
            </w:r>
          </w:p>
        </w:tc>
      </w:tr>
    </w:tbl>
    <w:p>
      <w:pPr>
        <w:pStyle w:val="BodyText"/>
      </w:pPr>
      <w:r>
        <w:rPr>
          <w:iCs/>
          <w:i/>
        </w:rPr>
        <w:t xml:space="preserve">Note: Percentages may not sum to exactly 100% due to rounding and the negative EoL impact.</w:t>
      </w:r>
    </w:p>
    <w:bookmarkEnd w:id="42"/>
    <w:bookmarkStart w:id="43" w:name="Xca1c2c6e6ff7eeefaf193f72ffcf8ae7efd00a3"/>
    <w:p>
      <w:pPr>
        <w:pStyle w:val="Heading3"/>
      </w:pPr>
      <w:r>
        <w:t xml:space="preserve">4.5 Land Sector and Removals (LSR) Standard Update (2026)</w:t>
      </w:r>
    </w:p>
    <w:p>
      <w:pPr>
        <w:pStyle w:val="FirstParagraph"/>
      </w:pPr>
      <w:r>
        <w:t xml:space="preserve">The 2026 update to the GHG Protocol\'s Land Sector and Removals (LSR) Standard is acknowledged. For this product, the primary relevance would be if raw materials (e.g., wood-based products) involved significant land-use change or if carbon sequestration in materials (like durable timber) was quantifiable and certified. While packaging cardboard has a biogenic origin, its short-cycle nature and current data limitations mean a detailed LSR application isn\'t fully reflected in the "Total Carbon" value from the BOM. For future assessments, detailed tracking of biogenic carbon and land-use change associated with material extraction will be critical to fully align with the LSR standard.</w:t>
      </w:r>
    </w:p>
    <w:p>
      <w:r>
        <w:pict>
          <v:rect style="width:0;height:1.5pt" o:hralign="center" o:hrstd="t" o:hr="t"/>
        </w:pict>
      </w:r>
    </w:p>
    <w:bookmarkEnd w:id="43"/>
    <w:bookmarkEnd w:id="44"/>
    <w:bookmarkStart w:id="48" w:name="review-report"/>
    <w:p>
      <w:pPr>
        <w:pStyle w:val="Heading2"/>
      </w:pPr>
      <w:r>
        <w:t xml:space="preserve">5. Review &amp; Report</w:t>
      </w:r>
    </w:p>
    <w:p>
      <w:pPr>
        <w:pStyle w:val="FirstParagraph"/>
      </w:pPr>
      <w:r>
        <w:t xml:space="preserve">This section summarizes the findings, identifies carbon hotspots, and provides recommendations for zmwmsiqvgf.</w:t>
      </w:r>
    </w:p>
    <w:bookmarkStart w:id="45" w:name="carbon-hotspots"/>
    <w:p>
      <w:pPr>
        <w:pStyle w:val="Heading3"/>
      </w:pPr>
      <w:r>
        <w:t xml:space="preserve">5.1 Carbon Hotspots</w:t>
      </w:r>
    </w:p>
    <w:p>
      <w:pPr>
        <w:pStyle w:val="FirstParagraph"/>
      </w:pPr>
      <w:r>
        <w:t xml:space="preserve">The analysis reveals the following key carbon hotspots for the EcoWidget Pro:</w:t>
      </w:r>
    </w:p>
    <w:p>
      <w:pPr>
        <w:numPr>
          <w:ilvl w:val="0"/>
          <w:numId w:val="1009"/>
        </w:numPr>
        <w:pStyle w:val="Compact"/>
      </w:pPr>
      <w:r>
        <w:rPr>
          <w:bCs/>
          <w:b/>
        </w:rPr>
        <w:t xml:space="preserve">Use Phase (96.06%):</w:t>
      </w:r>
      <w:r>
        <w:t xml:space="preserve"> </w:t>
      </w:r>
      <w:r>
        <w:t xml:space="preserve">This is overwhelmingly the most significant contributor to the product\'s PCF. The energy consumption during the 5-year lifespan of the EcoWidget Pro dominates the overall footprint. This highlights the critical importance of energy efficiency during product operation and the grid\'s carbon intensity.</w:t>
      </w:r>
    </w:p>
    <w:p>
      <w:pPr>
        <w:numPr>
          <w:ilvl w:val="0"/>
          <w:numId w:val="1009"/>
        </w:numPr>
        <w:pStyle w:val="Compact"/>
      </w:pPr>
      <w:r>
        <w:rPr>
          <w:bCs/>
          <w:b/>
        </w:rPr>
        <w:t xml:space="preserve">Material Acquisition &amp; Pre-processing (21.23%):</w:t>
      </w:r>
      <w:r>
        <w:t xml:space="preserve"> </w:t>
      </w:r>
      <w:r>
        <w:t xml:space="preserve">The materials used, particularly the aluminum casing and lithium-ion battery, contribute significantly to the upstream emissions. While the recycled plastic helps, the overall material impact remains substantial.</w:t>
      </w:r>
    </w:p>
    <w:p>
      <w:pPr>
        <w:numPr>
          <w:ilvl w:val="0"/>
          <w:numId w:val="1009"/>
        </w:numPr>
        <w:pStyle w:val="Compact"/>
      </w:pPr>
      <w:r>
        <w:rPr>
          <w:bCs/>
          <w:b/>
        </w:rPr>
        <w:t xml:space="preserve">End-of-Life (Net Negative -2.69%):</w:t>
      </w:r>
      <w:r>
        <w:t xml:space="preserve"> </w:t>
      </w:r>
      <w:r>
        <w:t xml:space="preserve">The high recyclability percentage and the assumption of a well-managed circular program lead to net avoided emissions at the end of the product\'s life, demonstrating the positive impact of circular economy principles.</w:t>
      </w:r>
    </w:p>
    <w:p>
      <w:pPr>
        <w:numPr>
          <w:ilvl w:val="0"/>
          <w:numId w:val="1009"/>
        </w:numPr>
        <w:pStyle w:val="Compact"/>
      </w:pPr>
      <w:r>
        <w:rPr>
          <w:bCs/>
          <w:b/>
        </w:rPr>
        <w:t xml:space="preserve">Scope 2 Manufacturing (3.36%):</w:t>
      </w:r>
      <w:r>
        <w:t xml:space="preserve"> </w:t>
      </w:r>
      <w:r>
        <w:t xml:space="preserve">While not a hotspot compared to the Use Phase, this represents the direct responsibility of zmwmsiqvgf within their factory gates.</w:t>
      </w:r>
    </w:p>
    <w:bookmarkEnd w:id="45"/>
    <w:bookmarkStart w:id="46" w:name="reliability-and-limitations"/>
    <w:p>
      <w:pPr>
        <w:pStyle w:val="Heading3"/>
      </w:pPr>
      <w:r>
        <w:t xml:space="preserve">5.2 Reliability and Limitations</w:t>
      </w:r>
    </w:p>
    <w:p>
      <w:pPr>
        <w:pStyle w:val="FirstParagraph"/>
      </w:pPr>
      <w:r>
        <w:t xml:space="preserve">The reliability of this PCF is good, given the use of specific primary data for BOM and energy. However, some limitations include:</w:t>
      </w:r>
    </w:p>
    <w:p>
      <w:pPr>
        <w:numPr>
          <w:ilvl w:val="0"/>
          <w:numId w:val="1010"/>
        </w:numPr>
        <w:pStyle w:val="Compact"/>
      </w:pPr>
      <w:r>
        <w:rPr>
          <w:bCs/>
          <w:b/>
        </w:rPr>
        <w:t xml:space="preserve">Assumed Emission Factors:</w:t>
      </w:r>
      <w:r>
        <w:t xml:space="preserve"> </w:t>
      </w:r>
      <w:r>
        <w:t xml:space="preserve">Default emission factors from Ecoinvent/DEFRA were used for generic processes and electricity grids where specific primary data was unavailable.</w:t>
      </w:r>
    </w:p>
    <w:p>
      <w:pPr>
        <w:numPr>
          <w:ilvl w:val="0"/>
          <w:numId w:val="1010"/>
        </w:numPr>
        <w:pStyle w:val="Compact"/>
      </w:pPr>
      <w:r>
        <w:rPr>
          <w:bCs/>
          <w:b/>
        </w:rPr>
        <w:t xml:space="preserve">Simplifications in Transport:</w:t>
      </w:r>
      <w:r>
        <w:t xml:space="preserve"> </w:t>
      </w:r>
      <w:r>
        <w:t xml:space="preserve">While mode and distance are used, specific load factors, routes, and return trips are averaged.</w:t>
      </w:r>
    </w:p>
    <w:p>
      <w:pPr>
        <w:numPr>
          <w:ilvl w:val="0"/>
          <w:numId w:val="1010"/>
        </w:numPr>
        <w:pStyle w:val="Compact"/>
      </w:pPr>
      <w:r>
        <w:rPr>
          <w:bCs/>
          <w:b/>
        </w:rPr>
        <w:t xml:space="preserve">Use Phase Grid Mix:</w:t>
      </w:r>
      <w:r>
        <w:t xml:space="preserve"> </w:t>
      </w:r>
      <w:r>
        <w:t xml:space="preserve">A global average grid mix was assumed for the use phase, which may vary significantly based on actual user location.</w:t>
      </w:r>
    </w:p>
    <w:p>
      <w:pPr>
        <w:numPr>
          <w:ilvl w:val="0"/>
          <w:numId w:val="1010"/>
        </w:numPr>
        <w:pStyle w:val="Compact"/>
      </w:pPr>
      <w:r>
        <w:rPr>
          <w:bCs/>
          <w:b/>
        </w:rPr>
        <w:t xml:space="preserve">EoL Avoided Emissions:</w:t>
      </w:r>
      <w:r>
        <w:t xml:space="preserve"> </w:t>
      </w:r>
      <w:r>
        <w:t xml:space="preserve">The assumed avoided emissions from recycling are a simplification and depend heavily on actual recycling process efficiencies and displaced virgin material production.</w:t>
      </w:r>
    </w:p>
    <w:p>
      <w:pPr>
        <w:numPr>
          <w:ilvl w:val="0"/>
          <w:numId w:val="1010"/>
        </w:numPr>
        <w:pStyle w:val="Compact"/>
      </w:pPr>
      <w:r>
        <w:rPr>
          <w:bCs/>
          <w:b/>
        </w:rPr>
        <w:t xml:space="preserve">Scope 3 Coverage:</w:t>
      </w:r>
      <w:r>
        <w:t xml:space="preserve"> </w:t>
      </w:r>
      <w:r>
        <w:t xml:space="preserve">While significant effort has been made to achieve high Scope 3 coverage, minor elements (e.g., employee commuting to manufacturing, business travel related to product) might not be explicitly quantified at this level of product assessment. However, the identified scopes cover well over the 95% target.</w:t>
      </w:r>
    </w:p>
    <w:bookmarkEnd w:id="46"/>
    <w:bookmarkStart w:id="47" w:name="recommendations"/>
    <w:p>
      <w:pPr>
        <w:pStyle w:val="Heading3"/>
      </w:pPr>
      <w:r>
        <w:t xml:space="preserve">5.3 Recommendations</w:t>
      </w:r>
    </w:p>
    <w:p>
      <w:pPr>
        <w:pStyle w:val="FirstParagraph"/>
      </w:pPr>
      <w:r>
        <w:t xml:space="preserve">Based on this analysis, twtsdepvxn recommends the following actions for zmwmsiqvgf to reduce the EcoWidget Pro\'s environmental footprint:</w:t>
      </w:r>
    </w:p>
    <w:p>
      <w:pPr>
        <w:numPr>
          <w:ilvl w:val="0"/>
          <w:numId w:val="1011"/>
        </w:numPr>
        <w:pStyle w:val="Compact"/>
      </w:pPr>
      <w:r>
        <w:rPr>
          <w:bCs/>
          <w:b/>
        </w:rPr>
        <w:t xml:space="preserve">Prioritize Use Phase Efficiency:</w:t>
      </w:r>
      <w:r>
        <w:t xml:space="preserve"> </w:t>
      </w:r>
      <w:r>
        <w:t xml:space="preserve">Invest in R&amp;D to drastically reduce the EcoWidget Pro\'s energy consumption during its operational life. This is the single most impactful area for emission reduction.</w:t>
      </w:r>
    </w:p>
    <w:p>
      <w:pPr>
        <w:numPr>
          <w:ilvl w:val="0"/>
          <w:numId w:val="1011"/>
        </w:numPr>
        <w:pStyle w:val="Compact"/>
      </w:pPr>
      <w:r>
        <w:rPr>
          <w:bCs/>
          <w:b/>
        </w:rPr>
        <w:t xml:space="preserve">Promote Renewable Energy Adoption by Consumers:</w:t>
      </w:r>
      <w:r>
        <w:t xml:space="preserve"> </w:t>
      </w:r>
      <w:r>
        <w:t xml:space="preserve">While beyond direct control, educational campaigns or product features compatible with renewable energy sources could influence the downstream use phase emissions.</w:t>
      </w:r>
    </w:p>
    <w:p>
      <w:pPr>
        <w:numPr>
          <w:ilvl w:val="0"/>
          <w:numId w:val="1011"/>
        </w:numPr>
        <w:pStyle w:val="Compact"/>
      </w:pPr>
      <w:r>
        <w:rPr>
          <w:bCs/>
          <w:b/>
        </w:rPr>
        <w:t xml:space="preserve">Optimize Material Selection:</w:t>
      </w:r>
      <w:r>
        <w:t xml:space="preserve"> </w:t>
      </w:r>
      <w:r>
        <w:t xml:space="preserve">Explore further opportunities to incorporate materials with lower embodied carbon, such as higher percentages of recycled content for aluminum or alternative, lighter materials.</w:t>
      </w:r>
    </w:p>
    <w:p>
      <w:pPr>
        <w:numPr>
          <w:ilvl w:val="0"/>
          <w:numId w:val="1011"/>
        </w:numPr>
        <w:pStyle w:val="Compact"/>
      </w:pPr>
      <w:r>
        <w:rPr>
          <w:bCs/>
          <w:b/>
        </w:rPr>
        <w:t xml:space="preserve">Enhance Supply Chain Visibility:</w:t>
      </w:r>
      <w:r>
        <w:t xml:space="preserve"> </w:t>
      </w:r>
      <w:r>
        <w:t xml:space="preserve">Work with European suppliers to gather more specific, primary data on their operational emissions and energy mixes to refine upstream Scope 3 calculations.</w:t>
      </w:r>
    </w:p>
    <w:p>
      <w:pPr>
        <w:numPr>
          <w:ilvl w:val="0"/>
          <w:numId w:val="1011"/>
        </w:numPr>
        <w:pStyle w:val="Compact"/>
      </w:pPr>
      <w:r>
        <w:rPr>
          <w:bCs/>
          <w:b/>
        </w:rPr>
        <w:t xml:space="preserve">Expand Circularity Initiatives:</w:t>
      </w:r>
      <w:r>
        <w:t xml:space="preserve"> </w:t>
      </w:r>
      <w:r>
        <w:t xml:space="preserve">Continue and strengthen the existing circular/take-back programs, potentially exploring repairability and remanufacturing to extend product lifespans and further reduce EoL impacts.</w:t>
      </w:r>
    </w:p>
    <w:p>
      <w:pPr>
        <w:numPr>
          <w:ilvl w:val="0"/>
          <w:numId w:val="1011"/>
        </w:numPr>
        <w:pStyle w:val="Compact"/>
      </w:pPr>
      <w:r>
        <w:rPr>
          <w:bCs/>
          <w:b/>
        </w:rPr>
        <w:t xml:space="preserve">Annual PCF Review:</w:t>
      </w:r>
      <w:r>
        <w:t xml:space="preserve"> </w:t>
      </w:r>
      <w:r>
        <w:t xml:space="preserve">Conduct annual PCF assessments to track progress, incorporate updated data (e.g., newer emission factors, changes in manufacturing processes), and ensure ongoing compliance with evolving standards like the LSR update.</w:t>
      </w:r>
    </w:p>
    <w:p>
      <w:pPr>
        <w:pStyle w:val="FirstParagraph"/>
      </w:pPr>
      <w:r>
        <w:t xml:space="preserve">This report provides a solid foundation for zmwmsiqvgf\'s sustainability strategy for the EcoWidget Pro, highlighting clear pathways for significant carbon footprint reduction.</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r>
        <w:t xml:space="preserve">1</w:t>
      </w:r>
      <w:r>
        <w:t xml:space="preserve"> </w:t>
      </w:r>
      <w:r>
        <w:t xml:space="preserve">of</w:t>
      </w:r>
      <w:r>
        <w:t xml:space="preserve"> </w:t>
      </w:r>
      <w:r>
        <w:t xml:space="preserve">X</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EcoWidget Pro</dc:title>
  <dc:creator/>
  <dc:description>Comprehensive Product Carbon Footprint (PCF) analysis report for zmwmsiqvgf\'s EcoWidget Pro, detailing GHG emissions across its lifecycle following the GHG Protocol.</dc:description>
  <dc:language>en</dc:language>
  <cp:keywords/>
  <dcterms:created xsi:type="dcterms:W3CDTF">2026-05-30T18:57:56Z</dcterms:created>
  <dcterms:modified xsi:type="dcterms:W3CDTF">2026-05-30T18:57:56Z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