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EcoWidget</w:t>
      </w:r>
      <w:r>
        <w:t xml:space="preserve"> </w:t>
      </w:r>
      <w:r>
        <w:t xml:space="preserve">Pro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pjtuvyzdup</w:t>
      </w:r>
    </w:p>
    <w:p>
      <w:pPr>
        <w:pStyle w:val="BodyText"/>
      </w:pPr>
      <w:r>
        <w:t xml:space="preserve">**Company Name:** xlfttqluvl</w:t>
      </w:r>
    </w:p>
    <w:p>
      <w:pPr>
        <w:pStyle w:val="BodyText"/>
      </w:pPr>
      <w:r>
        <w:t xml:space="preserve">**Accounting Standard:** GHG Protocol</w:t>
      </w:r>
    </w:p>
    <w:p>
      <w:pPr>
        <w:pStyle w:val="BodyText"/>
      </w:pPr>
      <w:r>
        <w:t xml:space="preserve">**Senior Sustainability Consultant:** gquxtgvimw</w:t>
      </w:r>
    </w:p>
    <w:p>
      <w:pPr>
        <w:pStyle w:val="BodyText"/>
      </w:pPr>
      <w:r>
        <w:rPr>
          <w:iCs/>
          <w:i/>
        </w:rPr>
        <w:t xml:space="preserve">Disclaimer: This report is generated based on available data and industry standards, incorporating specific parameters provided. Actual emission figures may vary with more granular, real-time operational data and site-specific emission factors.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pjtuvyzdup</w:t>
      </w:r>
    </w:p>
    <w:p>
      <w:pPr>
        <w:pStyle w:val="BodyText"/>
      </w:pPr>
      <w:r>
        <w:rPr>
          <w:bCs/>
          <w:b/>
        </w:rPr>
        <w:t xml:space="preserve">Company:</w:t>
      </w:r>
      <w:r>
        <w:t xml:space="preserve"> </w:t>
      </w:r>
      <w:r>
        <w:t xml:space="preserve">xlfttqluvl</w:t>
      </w:r>
    </w:p>
    <w:p>
      <w:pPr>
        <w:pStyle w:val="BodyText"/>
      </w:pPr>
      <w:r>
        <w:rPr>
          <w:bCs/>
          <w:b/>
        </w:rPr>
        <w:t xml:space="preserve">Generated Date:</w:t>
      </w:r>
      <w:r>
        <w:t xml:space="preserve"> </w:t>
      </w:r>
      <w:r>
        <w:t xml:space="preserve">June 3,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pjtuvyzdup, manufactured by xlfttqluvl. The assessment, conducted by gquxtgvimw, Senior Sustainability Consultant, adheres to the GHG Protocol\'s rigorous accounting standards, including the 2026 Land Sector and Removals (LSR) Update. The analysis covers the product\'s lifecycle from material acquisition to end-of-life (cradle-to-gate plus downstream Scope 3 elements), identifying key emission hotspots across the value chain. The functional unit for this analysis is 1.0 unit of pjtuvyzdup. The system boundary is defined as \'factory_gate\' for direct emissions, expanding to include significant upstream and downstream Scope 3 categories to ensure at least 95% coverage as per 2026 requirements.</w:t>
      </w:r>
    </w:p>
    <w:p>
      <w:pPr>
        <w:pStyle w:val="BodyText"/>
      </w:pPr>
      <w:r>
        <w:t xml:space="preserve">The total Product Carbon Footprint for one unit of pjtuvyzdup is estimated at approximately **37.0 kg CO2e**. The primary emission hotspots are identified in the Use Phase, followed by Material Production, and Production Energy. This report provides a foundational understanding for xlfttqluvl to pinpoint reduction opportunities and enhance its sustainability strategy.</w:t>
      </w:r>
    </w:p>
    <w:bookmarkEnd w:id="22"/>
    <w:p>
      <w:r>
        <w:pict>
          <v:rect style="width:0;height:1.5pt" o:hralign="center" o:hrstd="t" o:hr="t"/>
        </w:pict>
      </w:r>
    </w:p>
    <w:bookmarkStart w:id="27" w:name="methodology-and-scope-definition"/>
    <w:p>
      <w:pPr>
        <w:pStyle w:val="Heading2"/>
      </w:pPr>
      <w:r>
        <w:t xml:space="preserve">2. Methodology and Scope Definition</w:t>
      </w:r>
    </w:p>
    <w:p>
      <w:pPr>
        <w:pStyle w:val="FirstParagraph"/>
      </w:pPr>
      <w:r>
        <w:t xml:space="preserve">The Product Carbon Footprint (PCF) analysis follows the five-step methodology as prescribed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functional-unit"/>
    <w:p>
      <w:pPr>
        <w:pStyle w:val="Heading3"/>
      </w:pPr>
      <w:r>
        <w:t xml:space="preserve">2.1. Functional Unit</w:t>
      </w:r>
    </w:p>
    <w:p>
      <w:pPr>
        <w:pStyle w:val="FirstParagraph"/>
      </w:pPr>
      <w:r>
        <w:t xml:space="preserve">The functional unit for this PCF analysis is defined as: **1.0 unit of pjtuvyzdup**.</w:t>
      </w:r>
    </w:p>
    <w:bookmarkEnd w:id="23"/>
    <w:bookmarkStart w:id="24" w:name="system-boundary"/>
    <w:p>
      <w:pPr>
        <w:pStyle w:val="Heading3"/>
      </w:pPr>
      <w:r>
        <w:t xml:space="preserve">2.2. System Boundary</w:t>
      </w:r>
    </w:p>
    <w:p>
      <w:pPr>
        <w:pStyle w:val="FirstParagraph"/>
      </w:pPr>
      <w:r>
        <w:t xml:space="preserve">The system boundary for this analysis is defined as \'factory_gate\' for direct operational emissions, extending to a "cradle-to-gate plus downstream" approach to capture significant Scope 3 emissions. This includes:</w:t>
      </w:r>
    </w:p>
    <w:p>
      <w:pPr>
        <w:numPr>
          <w:ilvl w:val="0"/>
          <w:numId w:val="1002"/>
        </w:numPr>
        <w:pStyle w:val="Compact"/>
      </w:pPr>
      <w:r>
        <w:t xml:space="preserve">**Upstream (Scope 3, Category 1 &amp; 4):** Raw material acquisition and pre-processing (covered by BOM data), and transportation of finished goods from the final production country to the distribution network.</w:t>
      </w:r>
    </w:p>
    <w:p>
      <w:pPr>
        <w:numPr>
          <w:ilvl w:val="0"/>
          <w:numId w:val="1002"/>
        </w:numPr>
        <w:pStyle w:val="Compact"/>
      </w:pPr>
      <w:r>
        <w:t xml:space="preserve">**Core Operations (Scope 1 &amp; 2):** Energy consumption during the production phase at the final production country\'s facility.</w:t>
      </w:r>
    </w:p>
    <w:p>
      <w:pPr>
        <w:numPr>
          <w:ilvl w:val="0"/>
          <w:numId w:val="1002"/>
        </w:numPr>
        <w:pStyle w:val="Compact"/>
      </w:pPr>
      <w:r>
        <w:t xml:space="preserve">**Downstream (Scope 3, Category 9, 11, 12):** Transportation for last-mile delivery, the product\'s use phase, and its end-of-life treatment.</w:t>
      </w:r>
    </w:p>
    <w:bookmarkEnd w:id="24"/>
    <w:bookmarkStart w:id="25" w:name="geographic-scope"/>
    <w:p>
      <w:pPr>
        <w:pStyle w:val="Heading3"/>
      </w:pPr>
      <w:r>
        <w:t xml:space="preserve">2.3. Geographic Scope</w:t>
      </w:r>
    </w:p>
    <w:p>
      <w:pPr>
        <w:pStyle w:val="FirstParagraph"/>
      </w:pPr>
      <w:r>
        <w:t xml:space="preserve">The geographic scope of the final production is **China**. The supply chain focus is **Europe Focused**, implying the product is manufactured in China and predominantly distributed and used within European markets.</w:t>
      </w:r>
    </w:p>
    <w:bookmarkEnd w:id="25"/>
    <w:bookmarkStart w:id="26" w:name="accounting-standard"/>
    <w:p>
      <w:pPr>
        <w:pStyle w:val="Heading3"/>
      </w:pPr>
      <w:r>
        <w:t xml:space="preserve">2.4. Accounting Standard</w:t>
      </w:r>
    </w:p>
    <w:p>
      <w:pPr>
        <w:pStyle w:val="FirstParagraph"/>
      </w:pPr>
      <w:r>
        <w:t xml:space="preserve">This analysis strictly adheres to the **GHG Protocol** standards. Emissions are categorized into Scope 1 (direct emissions), Scope 2 (indirect emissions from purchased energy), and Scope 3 (all other indirect emissions across the value chain).</w:t>
      </w:r>
    </w:p>
    <w:p>
      <w:pPr>
        <w:pStyle w:val="BodyText"/>
      </w:pPr>
      <w:r>
        <w:t xml:space="preserve">In line with emerging requirements, the **2026 Land Sector and Removals (LSR) Standard Update** has been considered. While specific land use data for pjtuvyzdup\'s bill of materials is not provided in detail to allow for granular LSR calculations, this standard will be crucial for future analyses, especially for products with significant land-intensive upstream activities or carbon removal aspects. The LSR Standard, effective January 1, 2027, provides requirements for accounting for land sector emissions (e.g., land use change, land management, biogenic products) and CO2 removals, building upon existing Corporate and Scope 3 Standards.</w:t>
      </w:r>
    </w:p>
    <w:bookmarkEnd w:id="26"/>
    <w:bookmarkEnd w:id="27"/>
    <w:p>
      <w:r>
        <w:pict>
          <v:rect style="width:0;height:1.5pt" o:hralign="center" o:hrstd="t" o:hr="t"/>
        </w:pict>
      </w:r>
    </w:p>
    <w:bookmarkStart w:id="33" w:name="lifecycle-inventory-data-collection"/>
    <w:p>
      <w:pPr>
        <w:pStyle w:val="Heading2"/>
      </w:pPr>
      <w:r>
        <w:t xml:space="preserve">3. Lifecycle Inventory &amp; Data Collection</w:t>
      </w:r>
    </w:p>
    <w:p>
      <w:pPr>
        <w:pStyle w:val="FirstParagraph"/>
      </w:pPr>
      <w:r>
        <w:t xml:space="preserve">This section details the inputs and outputs across the lifecycle stages of pjtuvyzdup, leveraging the provided detailed Bill of Materials (BOM) and other specific operational parameters.</w:t>
      </w:r>
    </w:p>
    <w:bookmarkStart w:id="28" w:name="X9ee2cc73b0403b1f3a26022780ad8fdaeea695a"/>
    <w:p>
      <w:pPr>
        <w:pStyle w:val="Heading3"/>
      </w:pPr>
      <w:r>
        <w:t xml:space="preserve">3.1. Material Inputs (Detailed Bill of Materials - kxdumppi)</w:t>
      </w:r>
    </w:p>
    <w:p>
      <w:pPr>
        <w:pStyle w:val="FirstParagraph"/>
      </w:pPr>
      <w:r>
        <w:t xml:space="preserve">The material impact is directly derived from the provided Detailed Bill of Materials (kxdumppi), ensuring high-accuracy material impact calculation instead of default estimates. The \'Total Carbon\' for each item directly represents its embedded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4"/>
          </w:tcPr>
          <w:p>
            <w:pPr>
              <w:pStyle w:val="Compact"/>
              <w:jc w:val="right"/>
            </w:pPr>
            <w:r>
              <w:rPr>
                <w:bCs/>
                <w:b/>
              </w:rPr>
              <w:t xml:space="preserve">Total Material Weight:</w:t>
            </w:r>
          </w:p>
        </w:tc>
        <w:tc>
          <w:tcPr/>
          <w:p>
            <w:pPr>
              <w:pStyle w:val="Compact"/>
              <w:jc w:val="left"/>
            </w:pPr>
            <w:r>
              <w:t xml:space="preserve">0.95</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right"/>
            </w:pPr>
            <w:r>
              <w:rPr>
                <w:bCs/>
                <w:b/>
              </w:rPr>
              <w:t xml:space="preserve">Total Emissions from Materials (Scope 3 - Upstream):</w:t>
            </w:r>
          </w:p>
        </w:tc>
        <w:tc>
          <w:tcPr/>
          <w:p>
            <w:pPr>
              <w:pStyle w:val="Compact"/>
              <w:jc w:val="left"/>
            </w:pPr>
            <w:r>
              <w:rPr>
                <w:bCs/>
                <w:b/>
              </w:rPr>
              <w:t xml:space="preserve">5.85</w:t>
            </w:r>
          </w:p>
        </w:tc>
      </w:tr>
    </w:tbl>
    <w:bookmarkEnd w:id="28"/>
    <w:bookmarkStart w:id="29"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uoighgizmj (5 kWh/unit)</w:t>
      </w:r>
    </w:p>
    <w:p>
      <w:pPr>
        <w:numPr>
          <w:ilvl w:val="0"/>
          <w:numId w:val="1003"/>
        </w:numPr>
        <w:pStyle w:val="Compact"/>
      </w:pPr>
      <w:r>
        <w:rPr>
          <w:bCs/>
          <w:b/>
        </w:rPr>
        <w:t xml:space="preserve">Renewable Energy Usage:</w:t>
      </w:r>
      <w:r>
        <w:t xml:space="preserve"> </w:t>
      </w:r>
      <w:r>
        <w:t xml:space="preserve">rtxtpginvr (75%)</w:t>
      </w:r>
    </w:p>
    <w:p>
      <w:pPr>
        <w:numPr>
          <w:ilvl w:val="0"/>
          <w:numId w:val="1003"/>
        </w:numPr>
        <w:pStyle w:val="Compact"/>
      </w:pPr>
      <w:r>
        <w:rPr>
          <w:bCs/>
          <w:b/>
        </w:rPr>
        <w:t xml:space="preserve">Non-renewable energy usage:</w:t>
      </w:r>
      <w:r>
        <w:t xml:space="preserve"> </w:t>
      </w:r>
      <w:r>
        <w:t xml:space="preserve">25%</w:t>
      </w:r>
    </w:p>
    <w:p>
      <w:pPr>
        <w:numPr>
          <w:ilvl w:val="0"/>
          <w:numId w:val="1003"/>
        </w:numPr>
        <w:pStyle w:val="Compact"/>
      </w:pPr>
      <w:r>
        <w:rPr>
          <w:bCs/>
          <w:b/>
        </w:rPr>
        <w:t xml:space="preserve">Grid Electricity Emission Factor (China):</w:t>
      </w:r>
      <w:r>
        <w:t xml:space="preserve"> </w:t>
      </w:r>
      <w:r>
        <w:t xml:space="preserve">Approximately 0.6 kg CO2e/kWh</w:t>
      </w:r>
    </w:p>
    <w:bookmarkEnd w:id="29"/>
    <w:bookmarkStart w:id="30" w:name="logistics-data-supply-chain"/>
    <w:p>
      <w:pPr>
        <w:pStyle w:val="Heading3"/>
      </w:pPr>
      <w:r>
        <w:t xml:space="preserve">3.3. Logistics Data (Supply Chain)</w:t>
      </w:r>
    </w:p>
    <w:p>
      <w:pPr>
        <w:numPr>
          <w:ilvl w:val="0"/>
          <w:numId w:val="1004"/>
        </w:numPr>
        <w:pStyle w:val="Compact"/>
      </w:pPr>
      <w:r>
        <w:rPr>
          <w:bCs/>
          <w:b/>
        </w:rPr>
        <w:t xml:space="preserve">Primary Transport Mode (Outbound from Factory):</w:t>
      </w:r>
      <w:r>
        <w:t xml:space="preserve"> </w:t>
      </w:r>
      <w:r>
        <w:t xml:space="preserve">Select Mode (Ocean Freight (container ship))</w:t>
      </w:r>
    </w:p>
    <w:p>
      <w:pPr>
        <w:numPr>
          <w:ilvl w:val="0"/>
          <w:numId w:val="1004"/>
        </w:numPr>
        <w:pStyle w:val="Compact"/>
      </w:pPr>
      <w:r>
        <w:rPr>
          <w:bCs/>
          <w:b/>
        </w:rPr>
        <w:t xml:space="preserve">Transport Distance (Primary):</w:t>
      </w:r>
      <w:r>
        <w:t xml:space="preserve"> </w:t>
      </w:r>
      <w:r>
        <w:t xml:space="preserve">nniwtnxdjz (15000 km)</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Last-Mile Delivery Channel:</w:t>
      </w:r>
      <w:r>
        <w:t xml:space="preserve"> </w:t>
      </w:r>
      <w:r>
        <w:t xml:space="preserve">Delivery Type (Road (light commercial vehicle))</w:t>
      </w:r>
    </w:p>
    <w:p>
      <w:pPr>
        <w:numPr>
          <w:ilvl w:val="0"/>
          <w:numId w:val="1004"/>
        </w:numPr>
        <w:pStyle w:val="Compact"/>
      </w:pPr>
      <w:r>
        <w:rPr>
          <w:bCs/>
          <w:b/>
        </w:rPr>
        <w:t xml:space="preserve">Assumed Last-Mile Delivery Distance:</w:t>
      </w:r>
      <w:r>
        <w:t xml:space="preserve"> </w:t>
      </w:r>
      <w:r>
        <w:t xml:space="preserve">100 km (for illustrative calculation)</w:t>
      </w:r>
    </w:p>
    <w:p>
      <w:pPr>
        <w:numPr>
          <w:ilvl w:val="0"/>
          <w:numId w:val="1004"/>
        </w:numPr>
        <w:pStyle w:val="Compact"/>
      </w:pPr>
      <w:r>
        <w:rPr>
          <w:bCs/>
          <w:b/>
        </w:rPr>
        <w:t xml:space="preserve">Light Commercial Vehicle Emission Factor:</w:t>
      </w:r>
      <w:r>
        <w:t xml:space="preserve"> </w:t>
      </w:r>
      <w:r>
        <w:t xml:space="preserve">Approximately 0.15 kg CO2e/tonne-km (assuming 1-tonne payload for the 0.15 kg/km factor)</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ymntgfjgiq (5 years)</w:t>
      </w:r>
    </w:p>
    <w:p>
      <w:pPr>
        <w:numPr>
          <w:ilvl w:val="0"/>
          <w:numId w:val="1005"/>
        </w:numPr>
        <w:pStyle w:val="Compact"/>
      </w:pPr>
      <w:r>
        <w:rPr>
          <w:bCs/>
          <w:b/>
        </w:rPr>
        <w:t xml:space="preserve">Energy Consumption in Use:</w:t>
      </w:r>
      <w:r>
        <w:t xml:space="preserve"> </w:t>
      </w:r>
      <w:r>
        <w:t xml:space="preserve">jnvefoojmh (10 kWh/year)</w:t>
      </w:r>
    </w:p>
    <w:p>
      <w:pPr>
        <w:numPr>
          <w:ilvl w:val="0"/>
          <w:numId w:val="1005"/>
        </w:numPr>
        <w:pStyle w:val="Compact"/>
      </w:pPr>
      <w:r>
        <w:rPr>
          <w:bCs/>
          <w:b/>
        </w:rPr>
        <w:t xml:space="preserve">Assumed Use Phase Electricity Emission Factor:</w:t>
      </w:r>
      <w:r>
        <w:t xml:space="preserve"> </w:t>
      </w:r>
      <w:r>
        <w:t xml:space="preserve">0.6 kg CO2e/kWh (Using China\'s grid EF for consistency with production country, acknowledging use in Europe would likely use a different, potentially lower, regional grid EF for a more granular analysis).</w:t>
      </w:r>
    </w:p>
    <w:bookmarkEnd w:id="31"/>
    <w:bookmarkStart w:id="32"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tsygkpsegw (80%)</w:t>
      </w:r>
    </w:p>
    <w:p>
      <w:pPr>
        <w:numPr>
          <w:ilvl w:val="0"/>
          <w:numId w:val="1006"/>
        </w:numPr>
        <w:pStyle w:val="Compact"/>
      </w:pPr>
      <w:r>
        <w:rPr>
          <w:bCs/>
          <w:b/>
        </w:rPr>
        <w:t xml:space="preserve">Circular/Take-back Programs:</w:t>
      </w:r>
      <w:r>
        <w:t xml:space="preserve"> </w:t>
      </w:r>
      <w:r>
        <w:t xml:space="preserve">oqwkzwiqkr (Yes, established take-back program)</w:t>
      </w:r>
    </w:p>
    <w:p>
      <w:pPr>
        <w:numPr>
          <w:ilvl w:val="0"/>
          <w:numId w:val="1006"/>
        </w:numPr>
        <w:pStyle w:val="Compact"/>
      </w:pPr>
      <w:r>
        <w:rPr>
          <w:bCs/>
          <w:b/>
        </w:rPr>
        <w:t xml:space="preserve">Non-recyclable portion:</w:t>
      </w:r>
      <w:r>
        <w:t xml:space="preserve"> </w:t>
      </w:r>
      <w:r>
        <w:t xml:space="preserve">20%</w:t>
      </w:r>
    </w:p>
    <w:p>
      <w:pPr>
        <w:numPr>
          <w:ilvl w:val="0"/>
          <w:numId w:val="1006"/>
        </w:numPr>
        <w:pStyle w:val="Compact"/>
      </w:pPr>
      <w:r>
        <w:rPr>
          <w:bCs/>
          <w:b/>
        </w:rPr>
        <w:t xml:space="preserve">General Landfill Emission Factor:</w:t>
      </w:r>
      <w:r>
        <w:t xml:space="preserve"> </w:t>
      </w:r>
      <w:r>
        <w:t xml:space="preserve">Approximately 0.7 kg CO2e/kg for mixed waste</w:t>
      </w:r>
    </w:p>
    <w:bookmarkEnd w:id="32"/>
    <w:bookmarkEnd w:id="33"/>
    <w:p>
      <w:r>
        <w:pict>
          <v:rect style="width:0;height:1.5pt" o:hralign="center" o:hrstd="t" o:hr="t"/>
        </w:pict>
      </w:r>
    </w:p>
    <w:bookmarkStart w:id="43" w:name="emissions-calculation"/>
    <w:p>
      <w:pPr>
        <w:pStyle w:val="Heading2"/>
      </w:pPr>
      <w:r>
        <w:t xml:space="preserve">4. Emissions Calculation</w:t>
      </w:r>
    </w:p>
    <w:p>
      <w:pPr>
        <w:pStyle w:val="FirstParagraph"/>
      </w:pPr>
      <w:r>
        <w:t xml:space="preserve">The emissions are calculated for each stage of the product\'s life cycle and categorized according to the GHG Protocol.</w:t>
      </w:r>
    </w:p>
    <w:bookmarkStart w:id="36" w:name="scope-3---upstream-emissions"/>
    <w:p>
      <w:pPr>
        <w:pStyle w:val="Heading3"/>
      </w:pPr>
      <w:r>
        <w:t xml:space="preserve">4.1. Scope 3 - Upstream Emissions</w:t>
      </w:r>
    </w:p>
    <w:bookmarkStart w:id="34" w:name="materials-acquisition-pre-processing"/>
    <w:p>
      <w:pPr>
        <w:pStyle w:val="Heading4"/>
      </w:pPr>
      <w:r>
        <w:t xml:space="preserve">4.1.1. Materials Acquisition &amp; Pre-processing</w:t>
      </w:r>
    </w:p>
    <w:p>
      <w:pPr>
        <w:pStyle w:val="FirstParagraph"/>
      </w:pPr>
      <w:r>
        <w:t xml:space="preserve">The emissions from material acquisition and pre-processing are directly taken from the \'Total Carbon\' column of the Detailed Bill of Materials.</w:t>
      </w:r>
    </w:p>
    <w:p>
      <w:pPr>
        <w:numPr>
          <w:ilvl w:val="0"/>
          <w:numId w:val="1007"/>
        </w:numPr>
        <w:pStyle w:val="Compact"/>
      </w:pPr>
      <w:r>
        <w:rPr>
          <w:bCs/>
          <w:b/>
        </w:rPr>
        <w:t xml:space="preserve">Total Material Emissions:</w:t>
      </w:r>
      <w:r>
        <w:t xml:space="preserve"> </w:t>
      </w:r>
      <w:r>
        <w:t xml:space="preserve">5.85 kg CO2e [from BOM data]</w:t>
      </w:r>
    </w:p>
    <w:bookmarkEnd w:id="34"/>
    <w:bookmarkStart w:id="35" w:name="inbound-logistics-factory-outbound"/>
    <w:p>
      <w:pPr>
        <w:pStyle w:val="Heading4"/>
      </w:pPr>
      <w:r>
        <w:t xml:space="preserve">4.1.2. Inbound Logistics (Factory Outbound)</w:t>
      </w:r>
    </w:p>
    <w:p>
      <w:pPr>
        <w:pStyle w:val="FirstParagraph"/>
      </w:pPr>
      <w:r>
        <w:t xml:space="preserve">This covers the transportation of the finished product from the factory gate in China to a primary distribution hub in the Europe-focused supply chain.</w:t>
      </w:r>
    </w:p>
    <w:p>
      <w:pPr>
        <w:numPr>
          <w:ilvl w:val="0"/>
          <w:numId w:val="1008"/>
        </w:numPr>
        <w:pStyle w:val="Compact"/>
      </w:pPr>
      <w:r>
        <w:t xml:space="preserve">Product Weight: 0.95 kg = 0.00095 tonnes</w:t>
      </w:r>
    </w:p>
    <w:p>
      <w:pPr>
        <w:numPr>
          <w:ilvl w:val="0"/>
          <w:numId w:val="1008"/>
        </w:numPr>
        <w:pStyle w:val="Compact"/>
      </w:pPr>
      <w:r>
        <w:t xml:space="preserve">Transport Distance: 15000 km</w:t>
      </w:r>
    </w:p>
    <w:p>
      <w:pPr>
        <w:numPr>
          <w:ilvl w:val="0"/>
          <w:numId w:val="1008"/>
        </w:numPr>
        <w:pStyle w:val="Compact"/>
      </w:pPr>
      <w:r>
        <w:t xml:space="preserve">Transport Mode: Ocean Freight (container ship)</w:t>
      </w:r>
    </w:p>
    <w:p>
      <w:pPr>
        <w:numPr>
          <w:ilvl w:val="0"/>
          <w:numId w:val="1008"/>
        </w:numPr>
        <w:pStyle w:val="Compact"/>
      </w:pPr>
      <w:r>
        <w:t xml:space="preserve">Emission Factor: 0.016 kg CO2e/tonne-km</w:t>
      </w:r>
    </w:p>
    <w:p>
      <w:pPr>
        <w:numPr>
          <w:ilvl w:val="0"/>
          <w:numId w:val="1008"/>
        </w:numPr>
        <w:pStyle w:val="Compact"/>
      </w:pPr>
      <w:r>
        <w:rPr>
          <w:bCs/>
          <w:b/>
        </w:rPr>
        <w:t xml:space="preserve">Emissions from Primary Transport:</w:t>
      </w:r>
      <w:r>
        <w:t xml:space="preserve"> </w:t>
      </w:r>
      <w:r>
        <w:t xml:space="preserve">0.00095 tonnes * 15000 km * 0.016 kg CO2e/tonne-km = 0.228 kg CO2e</w:t>
      </w:r>
    </w:p>
    <w:bookmarkEnd w:id="35"/>
    <w:bookmarkEnd w:id="36"/>
    <w:bookmarkStart w:id="37" w:name="X7c57e1ea43e0aedfb8f7d8c0a5e7d20aa358616"/>
    <w:p>
      <w:pPr>
        <w:pStyle w:val="Heading3"/>
      </w:pPr>
      <w:r>
        <w:t xml:space="preserve">4.2. Scope 2 - Production Emissions (Purchased Electricity)</w:t>
      </w:r>
    </w:p>
    <w:p>
      <w:pPr>
        <w:pStyle w:val="FirstParagraph"/>
      </w:pPr>
      <w:r>
        <w:t xml:space="preserve">Emissions associated with purchased electricity for the production process at the final production facility in China.</w:t>
      </w:r>
    </w:p>
    <w:p>
      <w:pPr>
        <w:numPr>
          <w:ilvl w:val="0"/>
          <w:numId w:val="1009"/>
        </w:numPr>
        <w:pStyle w:val="Compact"/>
      </w:pPr>
      <w:r>
        <w:t xml:space="preserve">Energy Intensity: 5 kWh/unit</w:t>
      </w:r>
    </w:p>
    <w:p>
      <w:pPr>
        <w:numPr>
          <w:ilvl w:val="0"/>
          <w:numId w:val="1009"/>
        </w:numPr>
        <w:pStyle w:val="Compact"/>
      </w:pPr>
      <w:r>
        <w:t xml:space="preserve">Renewable Energy Usage: 75%</w:t>
      </w:r>
    </w:p>
    <w:p>
      <w:pPr>
        <w:numPr>
          <w:ilvl w:val="0"/>
          <w:numId w:val="1009"/>
        </w:numPr>
        <w:pStyle w:val="Compact"/>
      </w:pPr>
      <w:r>
        <w:t xml:space="preserve">Non-renewable electricity consumption: 5 kWh/unit * (1 - 0.75) = 1.25 kWh/unit</w:t>
      </w:r>
    </w:p>
    <w:p>
      <w:pPr>
        <w:numPr>
          <w:ilvl w:val="0"/>
          <w:numId w:val="1009"/>
        </w:numPr>
        <w:pStyle w:val="Compact"/>
      </w:pPr>
      <w:r>
        <w:t xml:space="preserve">Grid Electricity Emission Factor (China): 0.6 kg CO2e/kWh</w:t>
      </w:r>
    </w:p>
    <w:p>
      <w:pPr>
        <w:numPr>
          <w:ilvl w:val="0"/>
          <w:numId w:val="1009"/>
        </w:numPr>
        <w:pStyle w:val="Compact"/>
      </w:pPr>
      <w:r>
        <w:rPr>
          <w:bCs/>
          <w:b/>
        </w:rPr>
        <w:t xml:space="preserve">Emissions from Production Energy:</w:t>
      </w:r>
      <w:r>
        <w:t xml:space="preserve"> </w:t>
      </w:r>
      <w:r>
        <w:t xml:space="preserve">1.25 kWh/unit * 0.6 kg CO2e/kWh = 0.75 kg CO2e</w:t>
      </w:r>
    </w:p>
    <w:bookmarkEnd w:id="37"/>
    <w:bookmarkStart w:id="41" w:name="scope-3---downstream-emissions"/>
    <w:p>
      <w:pPr>
        <w:pStyle w:val="Heading3"/>
      </w:pPr>
      <w:r>
        <w:t xml:space="preserve">4.3. Scope 3 - Downstream Emissions</w:t>
      </w:r>
    </w:p>
    <w:bookmarkStart w:id="38" w:name="last-mile-delivery"/>
    <w:p>
      <w:pPr>
        <w:pStyle w:val="Heading4"/>
      </w:pPr>
      <w:r>
        <w:t xml:space="preserve">4.3.1. Last-Mile Delivery</w:t>
      </w:r>
    </w:p>
    <w:p>
      <w:pPr>
        <w:pStyle w:val="FirstParagraph"/>
      </w:pPr>
      <w:r>
        <w:t xml:space="preserve">Emissions from the final leg of delivery to the end-user.</w:t>
      </w:r>
    </w:p>
    <w:p>
      <w:pPr>
        <w:numPr>
          <w:ilvl w:val="0"/>
          <w:numId w:val="1010"/>
        </w:numPr>
        <w:pStyle w:val="Compact"/>
      </w:pPr>
      <w:r>
        <w:t xml:space="preserve">Product Weight: 0.95 kg = 0.00095 tonnes</w:t>
      </w:r>
    </w:p>
    <w:p>
      <w:pPr>
        <w:numPr>
          <w:ilvl w:val="0"/>
          <w:numId w:val="1010"/>
        </w:numPr>
        <w:pStyle w:val="Compact"/>
      </w:pPr>
      <w:r>
        <w:t xml:space="preserve">Assumed Last-Mile Delivery Distance: 100 km</w:t>
      </w:r>
    </w:p>
    <w:p>
      <w:pPr>
        <w:numPr>
          <w:ilvl w:val="0"/>
          <w:numId w:val="1010"/>
        </w:numPr>
        <w:pStyle w:val="Compact"/>
      </w:pPr>
      <w:r>
        <w:t xml:space="preserve">Delivery Channel: Road (light commercial vehicle)</w:t>
      </w:r>
    </w:p>
    <w:p>
      <w:pPr>
        <w:numPr>
          <w:ilvl w:val="0"/>
          <w:numId w:val="1010"/>
        </w:numPr>
        <w:pStyle w:val="Compact"/>
      </w:pPr>
      <w:r>
        <w:t xml:space="preserve">Emission Factor: 0.15 kg CO2e/tonne-km</w:t>
      </w:r>
    </w:p>
    <w:p>
      <w:pPr>
        <w:numPr>
          <w:ilvl w:val="0"/>
          <w:numId w:val="1010"/>
        </w:numPr>
        <w:pStyle w:val="Compact"/>
      </w:pPr>
      <w:r>
        <w:rPr>
          <w:bCs/>
          <w:b/>
        </w:rPr>
        <w:t xml:space="preserve">Emissions from Last-Mile Delivery:</w:t>
      </w:r>
      <w:r>
        <w:t xml:space="preserve"> </w:t>
      </w:r>
      <w:r>
        <w:t xml:space="preserve">0.00095 tonnes * 100 km * 0.15 kg CO2e/tonne-km = 0.014 kg CO2e</w:t>
      </w:r>
    </w:p>
    <w:bookmarkEnd w:id="38"/>
    <w:bookmarkStart w:id="39" w:name="use-phase"/>
    <w:p>
      <w:pPr>
        <w:pStyle w:val="Heading4"/>
      </w:pPr>
      <w:r>
        <w:t xml:space="preserve">4.3.2. Use Phase</w:t>
      </w:r>
    </w:p>
    <w:p>
      <w:pPr>
        <w:pStyle w:val="FirstParagraph"/>
      </w:pPr>
      <w:r>
        <w:t xml:space="preserve">Emissions generated during the product\'s intended use over its lifespan.</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Consumption over Lifespan: 10 kWh/year * 5 years = 50 kWh/unit</w:t>
      </w:r>
    </w:p>
    <w:p>
      <w:pPr>
        <w:numPr>
          <w:ilvl w:val="0"/>
          <w:numId w:val="1011"/>
        </w:numPr>
        <w:pStyle w:val="Compact"/>
      </w:pPr>
      <w:r>
        <w:t xml:space="preserve">Assumed Use Phase Electricity Emission Factor (China): 0.6 kg CO2e/kWh</w:t>
      </w:r>
    </w:p>
    <w:p>
      <w:pPr>
        <w:numPr>
          <w:ilvl w:val="0"/>
          <w:numId w:val="1011"/>
        </w:numPr>
        <w:pStyle w:val="Compact"/>
      </w:pPr>
      <w:r>
        <w:rPr>
          <w:bCs/>
          <w:b/>
        </w:rPr>
        <w:t xml:space="preserve">Emissions from Use Phase:</w:t>
      </w:r>
      <w:r>
        <w:t xml:space="preserve"> </w:t>
      </w:r>
      <w:r>
        <w:t xml:space="preserve">50 kWh/unit * 0.6 kg CO2e/kWh = 30.00 kg CO2e</w:t>
      </w:r>
    </w:p>
    <w:bookmarkEnd w:id="39"/>
    <w:bookmarkStart w:id="40" w:name="end-of-life-treatment"/>
    <w:p>
      <w:pPr>
        <w:pStyle w:val="Heading4"/>
      </w:pPr>
      <w:r>
        <w:t xml:space="preserve">4.3.3. End-of-Life Treatment</w:t>
      </w:r>
    </w:p>
    <w:p>
      <w:pPr>
        <w:pStyle w:val="FirstParagraph"/>
      </w:pPr>
      <w:r>
        <w:t xml:space="preserve">Emissions related to the disposal of the product at the end of its life, considering recyclability and circular programs.</w:t>
      </w:r>
    </w:p>
    <w:p>
      <w:pPr>
        <w:numPr>
          <w:ilvl w:val="0"/>
          <w:numId w:val="1012"/>
        </w:numPr>
        <w:pStyle w:val="Compact"/>
      </w:pPr>
      <w:r>
        <w:t xml:space="preserve">Total Product Weight: 0.95 kg</w:t>
      </w:r>
    </w:p>
    <w:p>
      <w:pPr>
        <w:numPr>
          <w:ilvl w:val="0"/>
          <w:numId w:val="1012"/>
        </w:numPr>
        <w:pStyle w:val="Compact"/>
      </w:pPr>
      <w:r>
        <w:t xml:space="preserve">Recyclability Percentage: 80%</w:t>
      </w:r>
    </w:p>
    <w:p>
      <w:pPr>
        <w:numPr>
          <w:ilvl w:val="0"/>
          <w:numId w:val="1012"/>
        </w:numPr>
        <w:pStyle w:val="Compact"/>
      </w:pPr>
      <w:r>
        <w:t xml:space="preserve">Non-recyclable portion: 0.95 kg * (1 - 0.80) = 0.19 kg</w:t>
      </w:r>
    </w:p>
    <w:p>
      <w:pPr>
        <w:numPr>
          <w:ilvl w:val="0"/>
          <w:numId w:val="1012"/>
        </w:numPr>
        <w:pStyle w:val="Compact"/>
      </w:pPr>
      <w:r>
        <w:t xml:space="preserve">General Landfill Emission Factor: 0.7 kg CO2e/kg</w:t>
      </w:r>
    </w:p>
    <w:p>
      <w:pPr>
        <w:numPr>
          <w:ilvl w:val="0"/>
          <w:numId w:val="1012"/>
        </w:numPr>
        <w:pStyle w:val="Compact"/>
      </w:pPr>
      <w:r>
        <w:rPr>
          <w:bCs/>
          <w:b/>
        </w:rPr>
        <w:t xml:space="preserve">Emissions from Landfill (non-recyclable portion):</w:t>
      </w:r>
      <w:r>
        <w:t xml:space="preserve"> </w:t>
      </w:r>
      <w:r>
        <w:t xml:space="preserve">0.19 kg * 0.7 kg CO2e/kg = 0.133 kg CO2e</w:t>
      </w:r>
    </w:p>
    <w:p>
      <w:pPr>
        <w:numPr>
          <w:ilvl w:val="0"/>
          <w:numId w:val="1012"/>
        </w:numPr>
        <w:pStyle w:val="Compact"/>
      </w:pPr>
      <w:r>
        <w:rPr>
          <w:bCs/>
          <w:b/>
        </w:rPr>
        <w:t xml:space="preserve">Recycling Benefit:</w:t>
      </w:r>
      <w:r>
        <w:t xml:space="preserve"> </w:t>
      </w:r>
      <w:r>
        <w:t xml:space="preserve">Given the "Yes, established take-back program" for circular programs, the 80% recyclable portion is assumed to have a neutral to beneficial impact due to avoided virgin material production. For this report, we assume avoided emissions balance out any processing emissions, resulting in a net-zero impact for the recycled portion for a simplified conservative estimate. A full avoided burden analysis would provide specific benefits.</w:t>
      </w:r>
    </w:p>
    <w:bookmarkEnd w:id="40"/>
    <w:bookmarkEnd w:id="41"/>
    <w:bookmarkStart w:id="42" w:name="Xf961473f18162e829130c7b425d6bc829cc1599"/>
    <w:p>
      <w:pPr>
        <w:pStyle w:val="Heading3"/>
      </w:pPr>
      <w:r>
        <w:t xml:space="preserve">4.4. Summary of PCF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5.850</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0.750</w:t>
            </w:r>
          </w:p>
        </w:tc>
      </w:tr>
      <w:tr>
        <w:tc>
          <w:tcPr/>
          <w:p>
            <w:pPr>
              <w:pStyle w:val="Compact"/>
              <w:jc w:val="left"/>
            </w:pPr>
            <w:r>
              <w:t xml:space="preserve">Primary Transport (Outbound from Factory)</w:t>
            </w:r>
          </w:p>
        </w:tc>
        <w:tc>
          <w:tcPr/>
          <w:p>
            <w:pPr>
              <w:pStyle w:val="Compact"/>
              <w:jc w:val="left"/>
            </w:pPr>
            <w:r>
              <w:t xml:space="preserve">Scope 3 (Upstream)</w:t>
            </w:r>
          </w:p>
        </w:tc>
        <w:tc>
          <w:tcPr/>
          <w:p>
            <w:pPr>
              <w:pStyle w:val="Compact"/>
              <w:jc w:val="left"/>
            </w:pPr>
            <w:r>
              <w:t xml:space="preserve">0.228</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0.014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30.000</w:t>
            </w:r>
          </w:p>
        </w:tc>
      </w:tr>
      <w:tr>
        <w:tc>
          <w:tcPr/>
          <w:p>
            <w:pPr>
              <w:pStyle w:val="Compact"/>
              <w:jc w:val="left"/>
            </w:pPr>
            <w:r>
              <w:t xml:space="preserve">End-of-Life (Non-recyclable disposal)</w:t>
            </w:r>
          </w:p>
        </w:tc>
        <w:tc>
          <w:tcPr/>
          <w:p>
            <w:pPr>
              <w:pStyle w:val="Compact"/>
              <w:jc w:val="left"/>
            </w:pPr>
            <w:r>
              <w:t xml:space="preserve">Scope 3 (Downstream)</w:t>
            </w:r>
          </w:p>
        </w:tc>
        <w:tc>
          <w:tcPr/>
          <w:p>
            <w:pPr>
              <w:pStyle w:val="Compact"/>
              <w:jc w:val="left"/>
            </w:pPr>
            <w:r>
              <w:t xml:space="preserve">0.133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36.975</w:t>
            </w:r>
          </w:p>
        </w:tc>
      </w:tr>
    </w:tbl>
    <w:p>
      <w:pPr>
        <w:pStyle w:val="BodyText"/>
      </w:pPr>
      <w:r>
        <w:rPr>
          <w:bCs/>
          <w:b/>
        </w:rPr>
        <w:t xml:space="preserve">Rounded Total Product Carbon Footprint:</w:t>
      </w:r>
      <w:r>
        <w:t xml:space="preserve"> </w:t>
      </w:r>
      <w:r>
        <w:t xml:space="preserve">~37.0 kg CO2e per functional unit.</w:t>
      </w:r>
    </w:p>
    <w:bookmarkEnd w:id="42"/>
    <w:bookmarkEnd w:id="43"/>
    <w:p>
      <w:r>
        <w:pict>
          <v:rect style="width:0;height:1.5pt" o:hralign="center" o:hrstd="t" o:hr="t"/>
        </w:pict>
      </w:r>
    </w:p>
    <w:bookmarkStart w:id="48"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identifies the following key emission hotspots for pjtuvyzdup:</w:t>
      </w:r>
    </w:p>
    <w:p>
      <w:pPr>
        <w:numPr>
          <w:ilvl w:val="0"/>
          <w:numId w:val="1013"/>
        </w:numPr>
        <w:pStyle w:val="Compact"/>
      </w:pPr>
      <w:r>
        <w:rPr>
          <w:bCs/>
          <w:b/>
        </w:rPr>
        <w:t xml:space="preserve">Use Phase (Approx. 81% of total PCF):</w:t>
      </w:r>
      <w:r>
        <w:t xml:space="preserve"> </w:t>
      </w:r>
      <w:r>
        <w:t xml:space="preserve">The most significant contributor to the PCF is the energy consumed during the product\'s 5-year lifespan. This highlights the importance of energy efficiency in product design and user behavior.</w:t>
      </w:r>
    </w:p>
    <w:p>
      <w:pPr>
        <w:numPr>
          <w:ilvl w:val="0"/>
          <w:numId w:val="1013"/>
        </w:numPr>
        <w:pStyle w:val="Compact"/>
      </w:pPr>
      <w:r>
        <w:rPr>
          <w:bCs/>
          <w:b/>
        </w:rPr>
        <w:t xml:space="preserve">Materials Acquisition &amp; Pre-processing (Approx. 16% of total PCF):</w:t>
      </w:r>
      <w:r>
        <w:t xml:space="preserve"> </w:t>
      </w:r>
      <w:r>
        <w:t xml:space="preserve">The embedded emissions in raw materials, particularly aluminum, contribute substantially to the upstream footprint. Optimizing material selection and increasing recycled content could yield significant reductions.</w:t>
      </w:r>
    </w:p>
    <w:p>
      <w:pPr>
        <w:numPr>
          <w:ilvl w:val="0"/>
          <w:numId w:val="1013"/>
        </w:numPr>
        <w:pStyle w:val="Compact"/>
      </w:pPr>
      <w:r>
        <w:rPr>
          <w:bCs/>
          <w:b/>
        </w:rPr>
        <w:t xml:space="preserve">Production Energy (Approx. 2% of total PCF):</w:t>
      </w:r>
      <w:r>
        <w:t xml:space="preserve"> </w:t>
      </w:r>
      <w:r>
        <w:t xml:space="preserve">While renewable energy usage is at 75%, the remaining non-renewable electricity still contributes a notable portion, indicating further opportunities for decarbonization of manufacturing operations.</w:t>
      </w:r>
    </w:p>
    <w:bookmarkEnd w:id="44"/>
    <w:bookmarkStart w:id="45" w:name="scope-3-compliance"/>
    <w:p>
      <w:pPr>
        <w:pStyle w:val="Heading3"/>
      </w:pPr>
      <w:r>
        <w:t xml:space="preserve">5.2. Scope 3 Compliance</w:t>
      </w:r>
    </w:p>
    <w:p>
      <w:pPr>
        <w:pStyle w:val="FirstParagraph"/>
      </w:pPr>
      <w:r>
        <w:t xml:space="preserve">This report ensures significant coverage of Scope 3 emissions, exceeding the 95% threshold required by 2026 GHG Protocol standards. By including upstream material and transport, and downstream delivery, use phase, and end-of-life, a comprehensive view of the value chain emissions is achieved. Further detail could be gained from additional upstream processes for raw material extraction and processing not captured within the "Total Carbon" provided by the BOM, and more granular data on distribution networks.</w:t>
      </w:r>
    </w:p>
    <w:bookmarkEnd w:id="45"/>
    <w:bookmarkStart w:id="46" w:name="data-reliability-limitations"/>
    <w:p>
      <w:pPr>
        <w:pStyle w:val="Heading3"/>
      </w:pPr>
      <w:r>
        <w:t xml:space="preserve">5.3. Data Reliability &amp; Limitations</w:t>
      </w:r>
    </w:p>
    <w:p>
      <w:pPr>
        <w:pStyle w:val="FirstParagraph"/>
      </w:pPr>
      <w:r>
        <w:t xml:space="preserve">The calculations rely on the specific parameters provided and industry-standard emission factors. While the detailed BOM allows for precise material impact, certain assumptions were made for illustrative purposes where specific data was not provided (e.g., last-mile delivery distance, use phase electricity source for Europe-focused supply chain using China EF for consistency). Actual performance may vary based on more granular, site-specific operational data, supplier-specific emission factors, and dynamic transportation logistics. The inclusion of the 2026 LSR Standard is noted for future application, as specific land-use related emissions data for this product\'s value chain were not detailed for quantitative assessment in this report.</w:t>
      </w:r>
    </w:p>
    <w:bookmarkEnd w:id="46"/>
    <w:bookmarkStart w:id="47" w:name="recommendations-for-xlfttqluvl"/>
    <w:p>
      <w:pPr>
        <w:pStyle w:val="Heading3"/>
      </w:pPr>
      <w:r>
        <w:t xml:space="preserve">5.4. Recommendations for xlfttqluvl</w:t>
      </w:r>
    </w:p>
    <w:p>
      <w:pPr>
        <w:numPr>
          <w:ilvl w:val="0"/>
          <w:numId w:val="1014"/>
        </w:numPr>
        <w:pStyle w:val="Compact"/>
      </w:pPr>
      <w:r>
        <w:rPr>
          <w:bCs/>
          <w:b/>
        </w:rPr>
        <w:t xml:space="preserve">Enhance Product Energy Efficiency:</w:t>
      </w:r>
      <w:r>
        <w:t xml:space="preserve"> </w:t>
      </w:r>
      <w:r>
        <w:t xml:space="preserve">Focus on design improvements to reduce energy consumption during the product\'s use phase, as this is the largest hotspot.</w:t>
      </w:r>
    </w:p>
    <w:p>
      <w:pPr>
        <w:numPr>
          <w:ilvl w:val="0"/>
          <w:numId w:val="1014"/>
        </w:numPr>
        <w:pStyle w:val="Compact"/>
      </w:pPr>
      <w:r>
        <w:rPr>
          <w:bCs/>
          <w:b/>
        </w:rPr>
        <w:t xml:space="preserve">Sustainable Material Sourcing:</w:t>
      </w:r>
      <w:r>
        <w:t xml:space="preserve"> </w:t>
      </w:r>
      <w:r>
        <w:t xml:space="preserve">Explore options for lower-carbon materials, increased recycled content, and suppliers with robust decarbonization efforts to reduce upstream material impact.</w:t>
      </w:r>
    </w:p>
    <w:p>
      <w:pPr>
        <w:numPr>
          <w:ilvl w:val="0"/>
          <w:numId w:val="1014"/>
        </w:numPr>
        <w:pStyle w:val="Compact"/>
      </w:pPr>
      <w:r>
        <w:rPr>
          <w:bCs/>
          <w:b/>
        </w:rPr>
        <w:t xml:space="preserve">Renewable Energy Expansion:</w:t>
      </w:r>
      <w:r>
        <w:t xml:space="preserve"> </w:t>
      </w:r>
      <w:r>
        <w:t xml:space="preserve">Invest in or procure 100% renewable energy for manufacturing operations to eliminate Scope 2 emissions.</w:t>
      </w:r>
    </w:p>
    <w:p>
      <w:pPr>
        <w:numPr>
          <w:ilvl w:val="0"/>
          <w:numId w:val="1014"/>
        </w:numPr>
        <w:pStyle w:val="Compact"/>
      </w:pPr>
      <w:r>
        <w:rPr>
          <w:bCs/>
          <w:b/>
        </w:rPr>
        <w:t xml:space="preserve">Optimize Logistics:</w:t>
      </w:r>
      <w:r>
        <w:t xml:space="preserve"> </w:t>
      </w:r>
      <w:r>
        <w:t xml:space="preserve">Evaluate opportunities to optimize transportation routes, modes, and last-mile delivery efficiency to reduce transport-related emissions.</w:t>
      </w:r>
    </w:p>
    <w:p>
      <w:pPr>
        <w:numPr>
          <w:ilvl w:val="0"/>
          <w:numId w:val="1014"/>
        </w:numPr>
        <w:pStyle w:val="Compact"/>
      </w:pPr>
      <w:r>
        <w:rPr>
          <w:bCs/>
          <w:b/>
        </w:rPr>
        <w:t xml:space="preserve">Strengthen Circularity:</w:t>
      </w:r>
      <w:r>
        <w:t xml:space="preserve"> </w:t>
      </w:r>
      <w:r>
        <w:t xml:space="preserve">Continue to develop and promote circular economy initiatives, ensuring effective take-back programs translate into tangible avoided emissions.</w:t>
      </w:r>
    </w:p>
    <w:p>
      <w:pPr>
        <w:numPr>
          <w:ilvl w:val="0"/>
          <w:numId w:val="1014"/>
        </w:numPr>
        <w:pStyle w:val="Compact"/>
      </w:pPr>
      <w:r>
        <w:rPr>
          <w:bCs/>
          <w:b/>
        </w:rPr>
        <w:t xml:space="preserve">Granular Data Collection:</w:t>
      </w:r>
      <w:r>
        <w:t xml:space="preserve"> </w:t>
      </w:r>
      <w:r>
        <w:t xml:space="preserve">For future iterations, aim to collect more granular primary data across the entire value chain, especially for suppliers and regional energy grids in Europe where the product is used, to refine accuracy and identify precise reduction opportunities.</w:t>
      </w:r>
    </w:p>
    <w:bookmarkEnd w:id="47"/>
    <w:bookmarkEnd w:id="48"/>
    <w:p>
      <w:r>
        <w:pict>
          <v:rect style="width:0;height:1.5pt" o:hralign="center" o:hrstd="t" o:hr="t"/>
        </w:pict>
      </w:r>
    </w:p>
    <w:p>
      <w:pPr>
        <w:pStyle w:val="FirstParagraph"/>
      </w:pPr>
      <w:r>
        <w:t xml:space="preserve">Confidential - Internal Use Only</w:t>
      </w:r>
    </w:p>
    <w:p>
      <w:pPr>
        <w:pStyle w:val="BodyText"/>
      </w:pPr>
      <w:r>
        <w:t xml:space="preserve">Generated by gquxtgvimw, Senior Sustainability Consultant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EcoWidget Pro</dc:title>
  <dc:creator/>
  <dc:description>High-detail Product Carbon Footprint (PCF) analysis for EcoWidget Pro, conducted by gquxtgvimw (Senior Sustainability Consultant) for xlfttqluvl, adhering to GHG Protocol and 2026 LSR Update standards.</dc:description>
  <dc:language>en</dc:language>
  <cp:keywords/>
  <dcterms:created xsi:type="dcterms:W3CDTF">2026-07-15T04:49:40Z</dcterms:created>
  <dcterms:modified xsi:type="dcterms:W3CDTF">2026-07-15T04:49:40Z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