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(PCF)</w:t>
      </w:r>
      <w:r>
        <w:t xml:space="preserve"> </w:t>
      </w:r>
      <w:r>
        <w:t xml:space="preserve">Analysis</w:t>
      </w:r>
      <w:r>
        <w:t xml:space="preserve"> </w:t>
      </w:r>
      <w:r>
        <w:t xml:space="preserve">Report</w:t>
      </w:r>
      <w:r>
        <w:t xml:space="preserve"> </w:t>
      </w:r>
      <w:r>
        <w:t xml:space="preserve">for</w:t>
      </w:r>
      <w:r>
        <w:t xml:space="preserve"> </w:t>
      </w:r>
      <w:r>
        <w:t xml:space="preserve">EcoSmart</w:t>
      </w:r>
      <w:r>
        <w:t xml:space="preserve"> </w:t>
      </w:r>
      <w:r>
        <w:t xml:space="preserve">Widget</w:t>
      </w:r>
      <w:r>
        <w:t xml:space="preserve"> </w:t>
      </w:r>
      <w:r>
        <w:t xml:space="preserve">X</w:t>
      </w:r>
    </w:p>
    <w:p>
      <w:pPr>
        <w:pStyle w:val="FirstParagraph"/>
      </w:pPr>
      <w:r>
        <w:t xml:space="preserve">carboncalcpcf.com</w:t>
      </w:r>
    </w:p>
    <w:bookmarkStart w:id="20" w:name="Xf2e6ab5be446359d80f42f50d41e46314dfe19d"/>
    <w:p>
      <w:pPr>
        <w:pStyle w:val="Heading1"/>
      </w:pPr>
      <w:r>
        <w:t xml:space="preserve">Product Carbon Footprint (PCF) Analysis Report</w:t>
      </w:r>
    </w:p>
    <w:p>
      <w:pPr>
        <w:pStyle w:val="FirstParagraph"/>
      </w:pPr>
      <w:r>
        <w:rPr>
          <w:bCs/>
          <w:b/>
        </w:rPr>
        <w:t xml:space="preserve">Product:</w:t>
      </w:r>
      <w:r>
        <w:t xml:space="preserve"> </w:t>
      </w:r>
      <w:r>
        <w:t xml:space="preserve">prnshghrht (EcoSmart Widget X)</w:t>
      </w:r>
    </w:p>
    <w:p>
      <w:pPr>
        <w:pStyle w:val="BodyText"/>
      </w:pPr>
      <w:r>
        <w:rPr>
          <w:bCs/>
          <w:b/>
        </w:rPr>
        <w:t xml:space="preserve">Company:</w:t>
      </w:r>
      <w:r>
        <w:t xml:space="preserve"> </w:t>
      </w:r>
      <w:r>
        <w:t xml:space="preserve">xpfvtvdpug (GlobalTech Solutions Inc.)</w:t>
      </w:r>
    </w:p>
    <w:p>
      <w:pPr>
        <w:pStyle w:val="BodyText"/>
      </w:pPr>
      <w:r>
        <w:rPr>
          <w:bCs/>
          <w:b/>
        </w:rPr>
        <w:t xml:space="preserve">Senior Sustainability Consultant:</w:t>
      </w:r>
      <w:r>
        <w:t xml:space="preserve"> </w:t>
      </w:r>
      <w:r>
        <w:t xml:space="preserve">sivyoqpuym (Dr. Eleanor Vance)</w:t>
      </w:r>
    </w:p>
    <w:p>
      <w:pPr>
        <w:pStyle w:val="BodyText"/>
      </w:pPr>
      <w:r>
        <w:rPr>
          <w:bCs/>
          <w:b/>
        </w:rPr>
        <w:t xml:space="preserve">Accounting Standard:</w:t>
      </w:r>
      <w:r>
        <w:t xml:space="preserve"> </w:t>
      </w:r>
      <w:r>
        <w:t xml:space="preserve">GHG Protocol</w:t>
      </w:r>
    </w:p>
    <w:p>
      <w:pPr>
        <w:pStyle w:val="BodyText"/>
      </w:pPr>
      <w:r>
        <w:t xml:space="preserve">This report is generated based on available data and industry standards. All specific parameter values (e.g., BOM, distances, energy data) are illustrative examples derived from the provided placeholder inputs for this analysis.</w:t>
      </w:r>
    </w:p>
    <w:bookmarkEnd w:id="20"/>
    <w:p>
      <w:pPr>
        <w:pStyle w:val="BodyText"/>
      </w:pPr>
      <w:r>
        <w:t xml:space="preserve">Generated Date: June 1, 2026</w:t>
      </w:r>
    </w:p>
    <w:bookmarkStart w:id="37" w:name="X36225e71d404861128ef1c25f02fed1404294c6"/>
    <w:p>
      <w:pPr>
        <w:pStyle w:val="Heading1"/>
      </w:pPr>
      <w:r>
        <w:t xml:space="preserve">Product Carbon Footprint Analysis for EcoSmart Widget X</w:t>
      </w:r>
    </w:p>
    <w:p>
      <w:pPr>
        <w:pStyle w:val="FirstParagraph"/>
      </w:pPr>
      <w:r>
        <w:rPr>
          <w:bCs/>
          <w:b/>
        </w:rPr>
        <w:t xml:space="preserve">Product Name:</w:t>
      </w:r>
      <w:r>
        <w:t xml:space="preserve"> </w:t>
      </w:r>
      <w:r>
        <w:t xml:space="preserve">prnshghrht (EcoSmart Widget X)</w:t>
      </w:r>
    </w:p>
    <w:p>
      <w:pPr>
        <w:pStyle w:val="BodyText"/>
      </w:pPr>
      <w:r>
        <w:rPr>
          <w:bCs/>
          <w:b/>
        </w:rPr>
        <w:t xml:space="preserve">Company Name:</w:t>
      </w:r>
      <w:r>
        <w:t xml:space="preserve"> </w:t>
      </w:r>
      <w:r>
        <w:t xml:space="preserve">xpfvtvdpug (GlobalTech Solutions Inc.)</w:t>
      </w:r>
    </w:p>
    <w:p>
      <w:pPr>
        <w:pStyle w:val="BodyText"/>
      </w:pPr>
      <w:r>
        <w:rPr>
          <w:bCs/>
          <w:b/>
        </w:rPr>
        <w:t xml:space="preserve">Senior Sustainability Consultant:</w:t>
      </w:r>
      <w:r>
        <w:t xml:space="preserve"> </w:t>
      </w:r>
      <w:r>
        <w:t xml:space="preserve">sivyoqpuym (Dr. Eleanor Vance)</w:t>
      </w:r>
    </w:p>
    <w:p>
      <w:r>
        <w:pict>
          <v:rect style="width:0;height:1.5pt" o:hralign="center" o:hrstd="t" o:hr="t"/>
        </w:pict>
      </w:r>
    </w:p>
    <w:bookmarkStart w:id="21" w:name="executive-summary"/>
    <w:p>
      <w:pPr>
        <w:pStyle w:val="Heading2"/>
      </w:pPr>
      <w:r>
        <w:t xml:space="preserve">Executive Summary</w:t>
      </w:r>
    </w:p>
    <w:p>
      <w:pPr>
        <w:pStyle w:val="FirstParagraph"/>
      </w:pPr>
      <w:r>
        <w:t xml:space="preserve">This Product Carbon Footprint (PCF) analysis, prepared by Dr. Eleanor Vance, Senior Sustainability Consultant specializing in GHG Protocol at sivyoqpuym, provides a high-detail assessment of the greenhouse gas (GHG) emissions associated with the lifecycle of the EcoSmart Widget X, manufactured by GlobalTech Solutions Inc. The analysis adheres strictly to the GHG Protocol Product Standard, covering Scope 1, 2, and 3 emissions, and incorporates principles from the forthcoming 2026 Land Sector and Removals (LSR) Standard where applicable. The total carbon footprint for one functional unit of the EcoSmart Widget X is calculated to be</w:t>
      </w:r>
      <w:r>
        <w:t xml:space="preserve"> </w:t>
      </w:r>
      <w:r>
        <w:rPr>
          <w:bCs/>
          <w:b/>
        </w:rPr>
        <w:t xml:space="preserve">22.60 kg CO2e</w:t>
      </w:r>
      <w:r>
        <w:t xml:space="preserve">. The Use Phase accounts for the most significant portion of the emissions, highlighting the importance of consumer energy consumption patterns.</w:t>
      </w:r>
    </w:p>
    <w:p>
      <w:pPr>
        <w:pStyle w:val="BodyText"/>
      </w:pPr>
      <w:r>
        <w:rPr>
          <w:bCs/>
          <w:b/>
        </w:rPr>
        <w:t xml:space="preserve">Key Findings:</w:t>
      </w:r>
    </w:p>
    <w:p>
      <w:pPr>
        <w:numPr>
          <w:ilvl w:val="0"/>
          <w:numId w:val="1001"/>
        </w:numPr>
        <w:pStyle w:val="Compact"/>
      </w:pPr>
      <w:r>
        <w:t xml:space="preserve">The Use Phase is the primary contributor to the total PCF, driven by the product\'s energy consumption over its lifespan, accounting for approximately 70.8% of the total footprint.</w:t>
      </w:r>
    </w:p>
    <w:p>
      <w:pPr>
        <w:numPr>
          <w:ilvl w:val="0"/>
          <w:numId w:val="1001"/>
        </w:numPr>
        <w:pStyle w:val="Compact"/>
      </w:pPr>
      <w:r>
        <w:t xml:space="preserve">Raw material acquisition and pre-processing represent a substantial portion of upstream emissions (31.7%).</w:t>
      </w:r>
    </w:p>
    <w:p>
      <w:pPr>
        <w:numPr>
          <w:ilvl w:val="0"/>
          <w:numId w:val="1001"/>
        </w:numPr>
        <w:pStyle w:val="Compact"/>
      </w:pPr>
      <w:r>
        <w:t xml:space="preserve">Circular economy initiatives, such as the established take-back program and high recyclability, provide significant avoided emissions at the End-of-Life stage, resulting in a net credit.</w:t>
      </w:r>
    </w:p>
    <w:p>
      <w:pPr>
        <w:numPr>
          <w:ilvl w:val="0"/>
          <w:numId w:val="1001"/>
        </w:numPr>
        <w:pStyle w:val="Compact"/>
      </w:pPr>
      <w:r>
        <w:t xml:space="preserve">Scope 3 emissions dominate the overall footprint, as expected for a manufactured product, with over 95% coverage as per 2026 requirements.</w:t>
      </w:r>
    </w:p>
    <w:p>
      <w:r>
        <w:pict>
          <v:rect style="width:0;height:1.5pt" o:hralign="center" o:hrstd="t" o:hr="t"/>
        </w:pict>
      </w:r>
    </w:p>
    <w:bookmarkEnd w:id="21"/>
    <w:bookmarkStart w:id="36" w:name="methodology"/>
    <w:p>
      <w:pPr>
        <w:pStyle w:val="Heading2"/>
      </w:pPr>
      <w:r>
        <w:t xml:space="preserve">Methodology</w:t>
      </w:r>
    </w:p>
    <w:p>
      <w:pPr>
        <w:pStyle w:val="FirstParagraph"/>
      </w:pPr>
      <w:r>
        <w:t xml:space="preserve">The Product Carbon Footprint (PCF) analysis for EcoSmart Widget X (prnshghrht) follows a robust methodology based on the GHG Protocol Product Life Cycle Accounting and Reporting Standard. The five key steps are outlined below, ensuring a comprehensive and accurate assessment of environmental impact.</w:t>
      </w:r>
    </w:p>
    <w:bookmarkStart w:id="22" w:name="define-scope"/>
    <w:p>
      <w:pPr>
        <w:pStyle w:val="Heading3"/>
      </w:pPr>
      <w:r>
        <w:t xml:space="preserve">1. Define Scope</w:t>
      </w:r>
    </w:p>
    <w:p>
      <w:pPr>
        <w:numPr>
          <w:ilvl w:val="0"/>
          <w:numId w:val="1002"/>
        </w:numPr>
        <w:pStyle w:val="Compact"/>
      </w:pPr>
      <w:r>
        <w:rPr>
          <w:bCs/>
          <w:b/>
        </w:rPr>
        <w:t xml:space="preserve">Functional Unit:</w:t>
      </w:r>
      <w:r>
        <w:t xml:space="preserve"> </w:t>
      </w:r>
      <w:r>
        <w:t xml:space="preserve">The analysis is based on one (1.0) unit of the EcoSmart Widget X, providing a standardized basis for comparison and calculation.</w:t>
      </w:r>
    </w:p>
    <w:p>
      <w:pPr>
        <w:numPr>
          <w:ilvl w:val="0"/>
          <w:numId w:val="1002"/>
        </w:numPr>
        <w:pStyle w:val="Compact"/>
      </w:pPr>
      <w:r>
        <w:rPr>
          <w:bCs/>
          <w:b/>
        </w:rPr>
        <w:t xml:space="preserve">System Boundary:</w:t>
      </w:r>
      <w:r>
        <w:t xml:space="preserve"> </w:t>
      </w:r>
      <w:r>
        <w:t xml:space="preserve">A "factory_gate" system boundary is applied, encompassing all processes from raw material extraction (cradle) through manufacturing, up to the point the finished product leaves the production facility. Downstream stages (transport to customer, use, and end-of-life) are also included to provide a full cradle-to-grave perspective, consistent with GHG Protocol requirements for comprehensive product assessment.</w:t>
      </w:r>
    </w:p>
    <w:p>
      <w:pPr>
        <w:numPr>
          <w:ilvl w:val="0"/>
          <w:numId w:val="1002"/>
        </w:numPr>
        <w:pStyle w:val="Compact"/>
      </w:pPr>
      <w:r>
        <w:rPr>
          <w:bCs/>
          <w:b/>
        </w:rPr>
        <w:t xml:space="preserve">Geographic Scope:</w:t>
      </w:r>
      <w:r>
        <w:t xml:space="preserve"> </w:t>
      </w:r>
      <w:r>
        <w:t xml:space="preserve">The final production country is China, with a supply chain focus on Europe for distribution and product use, informing the selection of region-specific emission factors.</w:t>
      </w:r>
    </w:p>
    <w:p>
      <w:pPr>
        <w:numPr>
          <w:ilvl w:val="0"/>
          <w:numId w:val="1002"/>
        </w:numPr>
        <w:pStyle w:val="Compact"/>
      </w:pPr>
      <w:r>
        <w:rPr>
          <w:bCs/>
          <w:b/>
        </w:rPr>
        <w:t xml:space="preserve">Accounting Standard:</w:t>
      </w:r>
      <w:r>
        <w:t xml:space="preserve"> </w:t>
      </w:r>
      <w:r>
        <w:t xml:space="preserve">The Greenhouse Gas Protocol Product Life Cycle Accounting and Reporting Standard is the guiding framework for all calculations and reporting, ensuring consistency and comparability.</w:t>
      </w:r>
    </w:p>
    <w:p>
      <w:pPr>
        <w:numPr>
          <w:ilvl w:val="0"/>
          <w:numId w:val="1002"/>
        </w:numPr>
        <w:pStyle w:val="Compact"/>
      </w:pPr>
      <w:r>
        <w:rPr>
          <w:bCs/>
          <w:b/>
        </w:rPr>
        <w:t xml:space="preserve">Allocation:</w:t>
      </w:r>
      <w:r>
        <w:t xml:space="preserve"> </w:t>
      </w:r>
      <w:r>
        <w:t xml:space="preserve">Where co-production or multi-functional processes occur, economic allocation is applied where appropriate, ensuring environmental burdens are fairly distributed.</w:t>
      </w:r>
    </w:p>
    <w:bookmarkEnd w:id="22"/>
    <w:bookmarkStart w:id="23" w:name="map-lifecycle-lci-inventory-stages"/>
    <w:p>
      <w:pPr>
        <w:pStyle w:val="Heading3"/>
      </w:pPr>
      <w:r>
        <w:t xml:space="preserve">2. Map Lifecycle (LCI Inventory Stages)</w:t>
      </w:r>
    </w:p>
    <w:p>
      <w:pPr>
        <w:pStyle w:val="FirstParagraph"/>
      </w:pPr>
      <w:r>
        <w:t xml:space="preserve">The lifecycle of the EcoSmart Widget X is mapped into distinct stages, allowing for detailed data collection and emission attribution:</w:t>
      </w:r>
    </w:p>
    <w:p>
      <w:pPr>
        <w:numPr>
          <w:ilvl w:val="0"/>
          <w:numId w:val="1003"/>
        </w:numPr>
        <w:pStyle w:val="Compact"/>
      </w:pPr>
      <w:r>
        <w:rPr>
          <w:bCs/>
          <w:b/>
        </w:rPr>
        <w:t xml:space="preserve">Raw Material Acquisition &amp; Pre-processing:</w:t>
      </w:r>
      <w:r>
        <w:t xml:space="preserve"> </w:t>
      </w:r>
      <w:r>
        <w:t xml:space="preserve">Extraction, processing, and manufacturing of all raw materials and components specified in the Bill of Materials (BOM).</w:t>
      </w:r>
    </w:p>
    <w:p>
      <w:pPr>
        <w:numPr>
          <w:ilvl w:val="0"/>
          <w:numId w:val="1003"/>
        </w:numPr>
        <w:pStyle w:val="Compact"/>
      </w:pPr>
      <w:r>
        <w:rPr>
          <w:bCs/>
          <w:b/>
        </w:rPr>
        <w:t xml:space="preserve">Manufacturing/Production:</w:t>
      </w:r>
      <w:r>
        <w:t xml:space="preserve"> </w:t>
      </w:r>
      <w:r>
        <w:t xml:space="preserve">Energy consumption and associated emissions during the assembly and production of the EcoSmart Widget X in China.</w:t>
      </w:r>
    </w:p>
    <w:p>
      <w:pPr>
        <w:numPr>
          <w:ilvl w:val="0"/>
          <w:numId w:val="1003"/>
        </w:numPr>
        <w:pStyle w:val="Compact"/>
      </w:pPr>
      <w:r>
        <w:rPr>
          <w:bCs/>
          <w:b/>
        </w:rPr>
        <w:t xml:space="preserve">Transportation &amp; Distribution:</w:t>
      </w:r>
      <w:r>
        <w:t xml:space="preserve"> </w:t>
      </w:r>
      <w:r>
        <w:t xml:space="preserve">Logistics from suppliers to the factory, from the factory to the end-user (Europe focused), and last-mile delivery.</w:t>
      </w:r>
    </w:p>
    <w:p>
      <w:pPr>
        <w:numPr>
          <w:ilvl w:val="0"/>
          <w:numId w:val="1003"/>
        </w:numPr>
        <w:pStyle w:val="Compact"/>
      </w:pPr>
      <w:r>
        <w:rPr>
          <w:bCs/>
          <w:b/>
        </w:rPr>
        <w:t xml:space="preserve">Use Phase:</w:t>
      </w:r>
      <w:r>
        <w:t xml:space="preserve"> </w:t>
      </w:r>
      <w:r>
        <w:t xml:space="preserve">Energy consumption during the anticipated lifespan of the product by the end-user.</w:t>
      </w:r>
    </w:p>
    <w:p>
      <w:pPr>
        <w:numPr>
          <w:ilvl w:val="0"/>
          <w:numId w:val="1003"/>
        </w:numPr>
        <w:pStyle w:val="Compact"/>
      </w:pPr>
      <w:r>
        <w:rPr>
          <w:bCs/>
          <w:b/>
        </w:rPr>
        <w:t xml:space="preserve">End-of-Life (EoL):</w:t>
      </w:r>
      <w:r>
        <w:t xml:space="preserve"> </w:t>
      </w:r>
      <w:r>
        <w:t xml:space="preserve">Disposal, recycling, and treatment of the product and its packaging at the end of its useful life.</w:t>
      </w:r>
    </w:p>
    <w:bookmarkEnd w:id="23"/>
    <w:bookmarkStart w:id="29" w:name="Xb57f50a89bf1f3f1837369be949d9d60d6c1272"/>
    <w:p>
      <w:pPr>
        <w:pStyle w:val="Heading3"/>
      </w:pPr>
      <w:r>
        <w:t xml:space="preserve">3. Collect Data (Primary/Secondary Data Points)</w:t>
      </w:r>
    </w:p>
    <w:p>
      <w:pPr>
        <w:pStyle w:val="FirstParagraph"/>
      </w:pPr>
      <w:r>
        <w:t xml:space="preserve">Data collection involved utilizing both specific primary data points provided and secondary industry-average emission factors (EFs) from recognized databases (e.g., Ecoinvent, DEFRA) for illustrative purposes where specific data was not available.</w:t>
      </w:r>
    </w:p>
    <w:bookmarkStart w:id="24" w:name="X548402f32fd670151530f71dbb4c95f58df0c2d"/>
    <w:p>
      <w:pPr>
        <w:pStyle w:val="Heading4"/>
      </w:pPr>
      <w:r>
        <w:t xml:space="preserve">Detailed Bill of Materials (BOM) - Raw Material Inputs (ufsjzolk)</w:t>
      </w:r>
    </w:p>
    <w:p>
      <w:pPr>
        <w:pStyle w:val="FirstParagraph"/>
      </w:pPr>
      <w:r>
        <w:t xml:space="preserve">The following table details the material composition of the EcoSmart Widget X, along with their quantity, unit, and associated cradle-to-gate emission factors. These values are used for high-accuracy material impact calculation based on the provided parameter "ufsjzolk".</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Quantity</w:t>
            </w:r>
          </w:p>
        </w:tc>
        <w:tc>
          <w:tcPr/>
          <w:p>
            <w:pPr>
              <w:pStyle w:val="Compact"/>
              <w:jc w:val="left"/>
            </w:pPr>
            <w:r>
              <w:t xml:space="preserve">Unit</w:t>
            </w:r>
          </w:p>
        </w:tc>
        <w:tc>
          <w:tcPr/>
          <w:p>
            <w:pPr>
              <w:pStyle w:val="Compact"/>
              <w:jc w:val="left"/>
            </w:pPr>
            <w:r>
              <w:t xml:space="preserve">Emission Factor (kg CO2e/unit or kg)</w:t>
            </w:r>
          </w:p>
        </w:tc>
        <w:tc>
          <w:tcPr/>
          <w:p>
            <w:pPr>
              <w:pStyle w:val="Compact"/>
              <w:jc w:val="left"/>
            </w:pPr>
            <w:r>
              <w:t xml:space="preserve">Total Carbon (kg CO2e)</w:t>
            </w:r>
          </w:p>
        </w:tc>
      </w:tr>
      <w:tr>
        <w:tc>
          <w:tcPr/>
          <w:p>
            <w:pPr>
              <w:pStyle w:val="Compact"/>
              <w:jc w:val="left"/>
            </w:pPr>
            <w:r>
              <w:t xml:space="preserve">1</w:t>
            </w:r>
          </w:p>
        </w:tc>
        <w:tc>
          <w:tcPr/>
          <w:p>
            <w:pPr>
              <w:pStyle w:val="Compact"/>
              <w:jc w:val="left"/>
            </w:pPr>
            <w:r>
              <w:t xml:space="preserve">Aluminum Casing</w:t>
            </w:r>
          </w:p>
        </w:tc>
        <w:tc>
          <w:tcPr/>
          <w:p>
            <w:pPr>
              <w:pStyle w:val="Compact"/>
              <w:jc w:val="left"/>
            </w:pPr>
            <w:r>
              <w:t xml:space="preserve">Metal</w:t>
            </w:r>
          </w:p>
        </w:tc>
        <w:tc>
          <w:tcPr/>
          <w:p>
            <w:pPr>
              <w:pStyle w:val="Compact"/>
              <w:jc w:val="left"/>
            </w:pPr>
            <w:r>
              <w:t xml:space="preserve">Casting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7.07</w:t>
            </w:r>
          </w:p>
        </w:tc>
        <w:tc>
          <w:tcPr/>
          <w:p>
            <w:pPr>
              <w:pStyle w:val="Compact"/>
              <w:jc w:val="left"/>
            </w:pPr>
            <w:r>
              <w:t xml:space="preserve">3.535</w:t>
            </w:r>
          </w:p>
        </w:tc>
      </w:tr>
      <w:tr>
        <w:tc>
          <w:tcPr/>
          <w:p>
            <w:pPr>
              <w:pStyle w:val="Compact"/>
              <w:jc w:val="left"/>
            </w:pPr>
            <w:r>
              <w:t xml:space="preserve">2</w:t>
            </w:r>
          </w:p>
        </w:tc>
        <w:tc>
          <w:tcPr/>
          <w:p>
            <w:pPr>
              <w:pStyle w:val="Compact"/>
              <w:jc w:val="left"/>
            </w:pPr>
            <w:r>
              <w:t xml:space="preserve">ABS Plastic Housing</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3.50</w:t>
            </w:r>
          </w:p>
        </w:tc>
        <w:tc>
          <w:tcPr/>
          <w:p>
            <w:pPr>
              <w:pStyle w:val="Compact"/>
              <w:jc w:val="left"/>
            </w:pPr>
            <w:r>
              <w:t xml:space="preserve">0.700</w:t>
            </w:r>
          </w:p>
        </w:tc>
      </w:tr>
      <w:tr>
        <w:tc>
          <w:tcPr/>
          <w:p>
            <w:pPr>
              <w:pStyle w:val="Compact"/>
              <w:jc w:val="left"/>
            </w:pPr>
            <w:r>
              <w:t xml:space="preserve">3</w:t>
            </w:r>
          </w:p>
        </w:tc>
        <w:tc>
          <w:tcPr/>
          <w:p>
            <w:pPr>
              <w:pStyle w:val="Compact"/>
              <w:jc w:val="left"/>
            </w:pPr>
            <w:r>
              <w:t xml:space="preserve">Printed Circuit Board Assembly (PCBA)</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1</w:t>
            </w:r>
          </w:p>
        </w:tc>
        <w:tc>
          <w:tcPr/>
          <w:p>
            <w:pPr>
              <w:pStyle w:val="Compact"/>
              <w:jc w:val="left"/>
            </w:pPr>
            <w:r>
              <w:t xml:space="preserve">unit</w:t>
            </w:r>
          </w:p>
        </w:tc>
        <w:tc>
          <w:tcPr/>
          <w:p>
            <w:pPr>
              <w:pStyle w:val="Compact"/>
              <w:jc w:val="left"/>
            </w:pPr>
            <w:r>
              <w:t xml:space="preserve">1.20</w:t>
            </w:r>
          </w:p>
        </w:tc>
        <w:tc>
          <w:tcPr/>
          <w:p>
            <w:pPr>
              <w:pStyle w:val="Compact"/>
              <w:jc w:val="left"/>
            </w:pPr>
            <w:r>
              <w:t xml:space="preserve">1.200</w:t>
            </w:r>
          </w:p>
        </w:tc>
      </w:tr>
      <w:tr>
        <w:tc>
          <w:tcPr/>
          <w:p>
            <w:pPr>
              <w:pStyle w:val="Compact"/>
              <w:jc w:val="left"/>
            </w:pPr>
            <w:r>
              <w:t xml:space="preserve">4</w:t>
            </w:r>
          </w:p>
        </w:tc>
        <w:tc>
          <w:tcPr/>
          <w:p>
            <w:pPr>
              <w:pStyle w:val="Compact"/>
              <w:jc w:val="left"/>
            </w:pPr>
            <w:r>
              <w:t xml:space="preserve">Lithium-ion Battery</w:t>
            </w:r>
          </w:p>
        </w:tc>
        <w:tc>
          <w:tcPr/>
          <w:p>
            <w:pPr>
              <w:pStyle w:val="Compact"/>
              <w:jc w:val="left"/>
            </w:pPr>
            <w:r>
              <w:t xml:space="preserve">Component</w:t>
            </w:r>
          </w:p>
        </w:tc>
        <w:tc>
          <w:tcPr/>
          <w:p>
            <w:pPr>
              <w:pStyle w:val="Compact"/>
              <w:jc w:val="left"/>
            </w:pPr>
            <w:r>
              <w:t xml:space="preserve">Production</w:t>
            </w:r>
          </w:p>
        </w:tc>
        <w:tc>
          <w:tcPr/>
          <w:p>
            <w:pPr>
              <w:pStyle w:val="Compact"/>
              <w:jc w:val="left"/>
            </w:pPr>
            <w:r>
              <w:t xml:space="preserve">0.1</w:t>
            </w:r>
          </w:p>
        </w:tc>
        <w:tc>
          <w:tcPr/>
          <w:p>
            <w:pPr>
              <w:pStyle w:val="Compact"/>
              <w:jc w:val="left"/>
            </w:pPr>
            <w:r>
              <w:t xml:space="preserve">kg</w:t>
            </w:r>
          </w:p>
        </w:tc>
        <w:tc>
          <w:tcPr/>
          <w:p>
            <w:pPr>
              <w:pStyle w:val="Compact"/>
              <w:jc w:val="left"/>
            </w:pPr>
            <w:r>
              <w:t xml:space="preserve">15.00</w:t>
            </w:r>
          </w:p>
        </w:tc>
        <w:tc>
          <w:tcPr/>
          <w:p>
            <w:pPr>
              <w:pStyle w:val="Compact"/>
              <w:jc w:val="left"/>
            </w:pPr>
            <w:r>
              <w:t xml:space="preserve">1.500</w:t>
            </w:r>
          </w:p>
        </w:tc>
      </w:tr>
      <w:tr>
        <w:tc>
          <w:tcPr/>
          <w:p>
            <w:pPr>
              <w:pStyle w:val="Compact"/>
              <w:jc w:val="left"/>
            </w:pPr>
            <w:r>
              <w:t xml:space="preserve">5</w:t>
            </w:r>
          </w:p>
        </w:tc>
        <w:tc>
          <w:tcPr/>
          <w:p>
            <w:pPr>
              <w:pStyle w:val="Compact"/>
              <w:jc w:val="left"/>
            </w:pPr>
            <w:r>
              <w:t xml:space="preserve">Corrugated Cardboard Packaging</w:t>
            </w:r>
          </w:p>
        </w:tc>
        <w:tc>
          <w:tcPr/>
          <w:p>
            <w:pPr>
              <w:pStyle w:val="Compact"/>
              <w:jc w:val="left"/>
            </w:pPr>
            <w:r>
              <w:t xml:space="preserve">Paper</w:t>
            </w:r>
          </w:p>
        </w:tc>
        <w:tc>
          <w:tcPr/>
          <w:p>
            <w:pPr>
              <w:pStyle w:val="Compact"/>
              <w:jc w:val="left"/>
            </w:pPr>
            <w:r>
              <w:t xml:space="preserve">Production</w:t>
            </w:r>
          </w:p>
        </w:tc>
        <w:tc>
          <w:tcPr/>
          <w:p>
            <w:pPr>
              <w:pStyle w:val="Compact"/>
              <w:jc w:val="left"/>
            </w:pPr>
            <w:r>
              <w:t xml:space="preserve">0.15</w:t>
            </w:r>
          </w:p>
        </w:tc>
        <w:tc>
          <w:tcPr/>
          <w:p>
            <w:pPr>
              <w:pStyle w:val="Compact"/>
              <w:jc w:val="left"/>
            </w:pPr>
            <w:r>
              <w:t xml:space="preserve">kg</w:t>
            </w:r>
          </w:p>
        </w:tc>
        <w:tc>
          <w:tcPr/>
          <w:p>
            <w:pPr>
              <w:pStyle w:val="Compact"/>
              <w:jc w:val="left"/>
            </w:pPr>
            <w:r>
              <w:t xml:space="preserve">1.50</w:t>
            </w:r>
          </w:p>
        </w:tc>
        <w:tc>
          <w:tcPr/>
          <w:p>
            <w:pPr>
              <w:pStyle w:val="Compact"/>
              <w:jc w:val="left"/>
            </w:pPr>
            <w:r>
              <w:t xml:space="preserve">0.225</w:t>
            </w:r>
          </w:p>
        </w:tc>
      </w:tr>
      <w:tr>
        <w:tc>
          <w:tcPr>
            <w:gridSpan w:val="7"/>
          </w:tcPr>
          <w:p>
            <w:pPr>
              <w:pStyle w:val="Compact"/>
              <w:jc w:val="left"/>
            </w:pPr>
            <w:r>
              <w:rPr>
                <w:bCs/>
                <w:b/>
              </w:rPr>
              <w:t xml:space="preserve">Total Material Carbon Footprint</w:t>
            </w:r>
          </w:p>
        </w:tc>
        <w:tc>
          <w:tcPr/>
          <w:p>
            <w:pPr>
              <w:pStyle w:val="Compact"/>
              <w:jc w:val="left"/>
            </w:pPr>
            <w:r>
              <w:rPr>
                <w:bCs/>
                <w:b/>
              </w:rPr>
              <w:t xml:space="preserve">7.160 kg CO2e</w:t>
            </w:r>
          </w:p>
        </w:tc>
      </w:tr>
    </w:tbl>
    <w:bookmarkEnd w:id="24"/>
    <w:bookmarkStart w:id="25" w:name="X6b87c2ac68b8807d4a80090b84c2b17309b8d7f"/>
    <w:p>
      <w:pPr>
        <w:pStyle w:val="Heading4"/>
      </w:pPr>
      <w:r>
        <w:t xml:space="preserve">Energy Inputs for Production (hjneewepne, gsnvpxdwlk)</w:t>
      </w:r>
    </w:p>
    <w:p>
      <w:pPr>
        <w:pStyle w:val="FirstParagraph"/>
      </w:pPr>
      <w:r>
        <w:t xml:space="preserve">The production phase energy consumption is a critical data point. For the EcoSmart Widget X, the following energy parameters were used, derived from "hjneewepne" and "gsnvpxdwlk":</w:t>
      </w:r>
    </w:p>
    <w:p>
      <w:pPr>
        <w:numPr>
          <w:ilvl w:val="0"/>
          <w:numId w:val="1004"/>
        </w:numPr>
        <w:pStyle w:val="Compact"/>
      </w:pPr>
      <w:r>
        <w:rPr>
          <w:bCs/>
          <w:b/>
        </w:rPr>
        <w:t xml:space="preserve">Energy Intensity:</w:t>
      </w:r>
      <w:r>
        <w:t xml:space="preserve"> </w:t>
      </w:r>
      <w:r>
        <w:t xml:space="preserve">6.0 kWh/unit</w:t>
      </w:r>
    </w:p>
    <w:p>
      <w:pPr>
        <w:numPr>
          <w:ilvl w:val="0"/>
          <w:numId w:val="1004"/>
        </w:numPr>
        <w:pStyle w:val="Compact"/>
      </w:pPr>
      <w:r>
        <w:rPr>
          <w:bCs/>
          <w:b/>
        </w:rPr>
        <w:t xml:space="preserve">Renewable Energy Usage:</w:t>
      </w:r>
      <w:r>
        <w:t xml:space="preserve"> </w:t>
      </w:r>
      <w:r>
        <w:t xml:space="preserve">70% of electricity purchased is from renewable sources.</w:t>
      </w:r>
    </w:p>
    <w:p>
      <w:pPr>
        <w:numPr>
          <w:ilvl w:val="0"/>
          <w:numId w:val="1004"/>
        </w:numPr>
        <w:pStyle w:val="Compact"/>
      </w:pPr>
      <w:r>
        <w:rPr>
          <w:bCs/>
          <w:b/>
        </w:rPr>
        <w:t xml:space="preserve">Non-renewable Electricity Consumption:</w:t>
      </w:r>
      <w:r>
        <w:t xml:space="preserve"> </w:t>
      </w:r>
      <w:r>
        <w:t xml:space="preserve">1.8 kWh/unit (30% of 6.0 kWh/unit).</w:t>
      </w:r>
    </w:p>
    <w:p>
      <w:pPr>
        <w:numPr>
          <w:ilvl w:val="0"/>
          <w:numId w:val="1004"/>
        </w:numPr>
        <w:pStyle w:val="Compact"/>
      </w:pPr>
      <w:r>
        <w:rPr>
          <w:bCs/>
          <w:b/>
        </w:rPr>
        <w:t xml:space="preserve">China Grid Emission Factor (average):</w:t>
      </w:r>
      <w:r>
        <w:t xml:space="preserve"> </w:t>
      </w:r>
      <w:r>
        <w:t xml:space="preserve">0.7 kg CO2e/kWh (estimated for illustrative purposes).</w:t>
      </w:r>
    </w:p>
    <w:bookmarkEnd w:id="25"/>
    <w:bookmarkStart w:id="26" w:name="X8c5c1719356b84ec1f9b8d9baf6eb5ff7a5b8a1"/>
    <w:p>
      <w:pPr>
        <w:pStyle w:val="Heading4"/>
      </w:pPr>
      <w:r>
        <w:t xml:space="preserve">Logistics Data (Select Mode, kglvirpgnv, Delivery Type)</w:t>
      </w:r>
    </w:p>
    <w:p>
      <w:pPr>
        <w:pStyle w:val="FirstParagraph"/>
      </w:pPr>
      <w:r>
        <w:t xml:space="preserve">Transportation data, representing both upstream supply to the factory and downstream distribution to the customer in Europe, is detailed below. A total product mass of 1.0 kg is assumed for transport calculations, consistent with typical small electronics.</w:t>
      </w:r>
    </w:p>
    <w:p>
      <w:pPr>
        <w:numPr>
          <w:ilvl w:val="0"/>
          <w:numId w:val="1005"/>
        </w:numPr>
        <w:pStyle w:val="Compact"/>
      </w:pPr>
      <w:r>
        <w:rPr>
          <w:bCs/>
          <w:b/>
        </w:rPr>
        <w:t xml:space="preserve">Main Transport Mode:</w:t>
      </w:r>
      <w:r>
        <w:t xml:space="preserve"> </w:t>
      </w:r>
      <w:r>
        <w:t xml:space="preserve">Ocean Freight (Container Ship) for the primary leg.</w:t>
      </w:r>
    </w:p>
    <w:p>
      <w:pPr>
        <w:numPr>
          <w:ilvl w:val="0"/>
          <w:numId w:val="1005"/>
        </w:numPr>
        <w:pStyle w:val="Compact"/>
      </w:pPr>
      <w:r>
        <w:rPr>
          <w:bCs/>
          <w:b/>
        </w:rPr>
        <w:t xml:space="preserve">Main Transport Distance:</w:t>
      </w:r>
      <w:r>
        <w:t xml:space="preserve"> </w:t>
      </w:r>
      <w:r>
        <w:t xml:space="preserve">8000 km [cite: kglvirpgnv].</w:t>
      </w:r>
    </w:p>
    <w:p>
      <w:pPr>
        <w:numPr>
          <w:ilvl w:val="0"/>
          <w:numId w:val="1005"/>
        </w:numPr>
        <w:pStyle w:val="Compact"/>
      </w:pPr>
      <w:r>
        <w:rPr>
          <w:bCs/>
          <w:b/>
        </w:rPr>
        <w:t xml:space="preserve">Distribution Transport Mode:</w:t>
      </w:r>
      <w:r>
        <w:t xml:space="preserve"> </w:t>
      </w:r>
      <w:r>
        <w:t xml:space="preserve">Road Freight (Heavy Goods Vehicle - HGV) for regional distribution.</w:t>
      </w:r>
    </w:p>
    <w:p>
      <w:pPr>
        <w:numPr>
          <w:ilvl w:val="0"/>
          <w:numId w:val="1005"/>
        </w:numPr>
        <w:pStyle w:val="Compact"/>
      </w:pPr>
      <w:r>
        <w:rPr>
          <w:bCs/>
          <w:b/>
        </w:rPr>
        <w:t xml:space="preserve">Distribution Transport Distance:</w:t>
      </w:r>
      <w:r>
        <w:t xml:space="preserve"> </w:t>
      </w:r>
      <w:r>
        <w:t xml:space="preserve">500 km [cite: kglvirpgnv].</w:t>
      </w:r>
    </w:p>
    <w:p>
      <w:pPr>
        <w:numPr>
          <w:ilvl w:val="0"/>
          <w:numId w:val="1005"/>
        </w:numPr>
        <w:pStyle w:val="Compact"/>
      </w:pPr>
      <w:r>
        <w:rPr>
          <w:bCs/>
          <w:b/>
        </w:rPr>
        <w:t xml:space="preserve">Last-Mile Delivery Channel:</w:t>
      </w:r>
      <w:r>
        <w:t xml:space="preserve"> </w:t>
      </w:r>
      <w:r>
        <w:t xml:space="preserve">Road Freight (Parcel Van), assumed 100 km.</w:t>
      </w:r>
    </w:p>
    <w:p>
      <w:pPr>
        <w:numPr>
          <w:ilvl w:val="0"/>
          <w:numId w:val="1005"/>
        </w:numPr>
        <w:pStyle w:val="Compact"/>
      </w:pPr>
      <w:r>
        <w:rPr>
          <w:bCs/>
          <w:b/>
        </w:rPr>
        <w:t xml:space="preserve">Ocean Freight Emission Factor:</w:t>
      </w:r>
      <w:r>
        <w:t xml:space="preserve"> </w:t>
      </w:r>
      <w:r>
        <w:t xml:space="preserve">0.016 kg CO2e/tkm.</w:t>
      </w:r>
    </w:p>
    <w:p>
      <w:pPr>
        <w:numPr>
          <w:ilvl w:val="0"/>
          <w:numId w:val="1005"/>
        </w:numPr>
        <w:pStyle w:val="Compact"/>
      </w:pPr>
      <w:r>
        <w:rPr>
          <w:bCs/>
          <w:b/>
        </w:rPr>
        <w:t xml:space="preserve">Road Freight (HGV) Emission Factor:</w:t>
      </w:r>
      <w:r>
        <w:t xml:space="preserve"> </w:t>
      </w:r>
      <w:r>
        <w:t xml:space="preserve">0.07 kg CO2e/tkm.</w:t>
      </w:r>
    </w:p>
    <w:p>
      <w:pPr>
        <w:numPr>
          <w:ilvl w:val="0"/>
          <w:numId w:val="1005"/>
        </w:numPr>
        <w:pStyle w:val="Compact"/>
      </w:pPr>
      <w:r>
        <w:rPr>
          <w:bCs/>
          <w:b/>
        </w:rPr>
        <w:t xml:space="preserve">Road Freight (Parcel Van) Emission Factor:</w:t>
      </w:r>
      <w:r>
        <w:t xml:space="preserve"> </w:t>
      </w:r>
      <w:r>
        <w:t xml:space="preserve">0.15 kg CO2e/tkm (estimated for illustrative purposes).</w:t>
      </w:r>
    </w:p>
    <w:bookmarkEnd w:id="26"/>
    <w:bookmarkStart w:id="27" w:name="use-phase-data-xzxskixegl-zmoslgpqwe"/>
    <w:p>
      <w:pPr>
        <w:pStyle w:val="Heading4"/>
      </w:pPr>
      <w:r>
        <w:t xml:space="preserve">Use Phase Data (xzxskixegl, zmoslgpqwe)</w:t>
      </w:r>
    </w:p>
    <w:p>
      <w:pPr>
        <w:pStyle w:val="FirstParagraph"/>
      </w:pPr>
      <w:r>
        <w:t xml:space="preserve">The product\'s anticipated use by the consumer significantly contributes to its overall footprint, based on "xzxskixegl" and "zmoslgpqwe":</w:t>
      </w:r>
    </w:p>
    <w:p>
      <w:pPr>
        <w:numPr>
          <w:ilvl w:val="0"/>
          <w:numId w:val="1006"/>
        </w:numPr>
        <w:pStyle w:val="Compact"/>
      </w:pPr>
      <w:r>
        <w:rPr>
          <w:bCs/>
          <w:b/>
        </w:rPr>
        <w:t xml:space="preserve">Product Lifespan:</w:t>
      </w:r>
      <w:r>
        <w:t xml:space="preserve"> </w:t>
      </w:r>
      <w:r>
        <w:t xml:space="preserve">4 years.</w:t>
      </w:r>
    </w:p>
    <w:p>
      <w:pPr>
        <w:numPr>
          <w:ilvl w:val="0"/>
          <w:numId w:val="1006"/>
        </w:numPr>
        <w:pStyle w:val="Compact"/>
      </w:pPr>
      <w:r>
        <w:rPr>
          <w:bCs/>
          <w:b/>
        </w:rPr>
        <w:t xml:space="preserve">Energy Consumption in Use:</w:t>
      </w:r>
      <w:r>
        <w:t xml:space="preserve"> </w:t>
      </w:r>
      <w:r>
        <w:t xml:space="preserve">20 kWh/year.</w:t>
      </w:r>
    </w:p>
    <w:p>
      <w:pPr>
        <w:numPr>
          <w:ilvl w:val="0"/>
          <w:numId w:val="1006"/>
        </w:numPr>
        <w:pStyle w:val="Compact"/>
      </w:pPr>
      <w:r>
        <w:rPr>
          <w:bCs/>
          <w:b/>
        </w:rPr>
        <w:t xml:space="preserve">Total Energy Consumption over Lifespan:</w:t>
      </w:r>
      <w:r>
        <w:t xml:space="preserve"> </w:t>
      </w:r>
      <w:r>
        <w:t xml:space="preserve">80 kWh.</w:t>
      </w:r>
    </w:p>
    <w:p>
      <w:pPr>
        <w:numPr>
          <w:ilvl w:val="0"/>
          <w:numId w:val="1006"/>
        </w:numPr>
        <w:pStyle w:val="Compact"/>
      </w:pPr>
      <w:r>
        <w:rPr>
          <w:bCs/>
          <w:b/>
        </w:rPr>
        <w:t xml:space="preserve">European Grid Emission Factor (average):</w:t>
      </w:r>
      <w:r>
        <w:t xml:space="preserve"> </w:t>
      </w:r>
      <w:r>
        <w:t xml:space="preserve">0.2 kg CO2e/kWh (estimated for illustrative purposes, reflecting Europe-focused supply chain and use).</w:t>
      </w:r>
    </w:p>
    <w:bookmarkEnd w:id="27"/>
    <w:bookmarkStart w:id="28" w:name="Xca45d26e1b971c5ed96d895eca056b4f92920a3"/>
    <w:p>
      <w:pPr>
        <w:pStyle w:val="Heading4"/>
      </w:pPr>
      <w:r>
        <w:t xml:space="preserve">End-of-Life (EoL) Scenarios (gglxinqyrt, etxmpdkwed)</w:t>
      </w:r>
    </w:p>
    <w:p>
      <w:pPr>
        <w:pStyle w:val="FirstParagraph"/>
      </w:pPr>
      <w:r>
        <w:t xml:space="preserve">End-of-Life treatment is crucial for circularity and involves both emissions and potential avoided emissions (credits), as per "gglxinqyrt" and "etxmpdkwed":</w:t>
      </w:r>
    </w:p>
    <w:p>
      <w:pPr>
        <w:numPr>
          <w:ilvl w:val="0"/>
          <w:numId w:val="1007"/>
        </w:numPr>
        <w:pStyle w:val="Compact"/>
      </w:pPr>
      <w:r>
        <w:rPr>
          <w:bCs/>
          <w:b/>
        </w:rPr>
        <w:t xml:space="preserve">Recyclability Percentage:</w:t>
      </w:r>
      <w:r>
        <w:t xml:space="preserve"> </w:t>
      </w:r>
      <w:r>
        <w:t xml:space="preserve">60% of product mass is deemed recyclable.</w:t>
      </w:r>
    </w:p>
    <w:p>
      <w:pPr>
        <w:numPr>
          <w:ilvl w:val="0"/>
          <w:numId w:val="1007"/>
        </w:numPr>
        <w:pStyle w:val="Compact"/>
      </w:pPr>
      <w:r>
        <w:rPr>
          <w:bCs/>
          <w:b/>
        </w:rPr>
        <w:t xml:space="preserve">Circular/Take-back Programs:</w:t>
      </w:r>
      <w:r>
        <w:t xml:space="preserve"> </w:t>
      </w:r>
      <w:r>
        <w:t xml:space="preserve">An established take-back program ensures an 80% recovery rate for collected recyclable items.</w:t>
      </w:r>
    </w:p>
    <w:p>
      <w:pPr>
        <w:numPr>
          <w:ilvl w:val="0"/>
          <w:numId w:val="1007"/>
        </w:numPr>
        <w:pStyle w:val="Compact"/>
      </w:pPr>
      <w:r>
        <w:rPr>
          <w:bCs/>
          <w:b/>
        </w:rPr>
        <w:t xml:space="preserve">Mass Recovered for Recycling:</w:t>
      </w:r>
      <w:r>
        <w:t xml:space="preserve"> </w:t>
      </w:r>
      <w:r>
        <w:t xml:space="preserve">0.48 kg (60% of 1.0 kg product mass, with 80% recovery).</w:t>
      </w:r>
    </w:p>
    <w:p>
      <w:pPr>
        <w:numPr>
          <w:ilvl w:val="0"/>
          <w:numId w:val="1007"/>
        </w:numPr>
        <w:pStyle w:val="Compact"/>
      </w:pPr>
      <w:r>
        <w:rPr>
          <w:bCs/>
          <w:b/>
        </w:rPr>
        <w:t xml:space="preserve">Mass Disposed (Landfill/Incineration):</w:t>
      </w:r>
      <w:r>
        <w:t xml:space="preserve"> </w:t>
      </w:r>
      <w:r>
        <w:t xml:space="preserve">0.52 kg (remaining 40% not recyclable or 20% of recyclable not recovered).</w:t>
      </w:r>
    </w:p>
    <w:p>
      <w:pPr>
        <w:numPr>
          <w:ilvl w:val="0"/>
          <w:numId w:val="1007"/>
        </w:numPr>
        <w:pStyle w:val="Compact"/>
      </w:pPr>
      <w:r>
        <w:rPr>
          <w:bCs/>
          <w:b/>
        </w:rPr>
        <w:t xml:space="preserve">Average Recycling Credit:</w:t>
      </w:r>
      <w:r>
        <w:t xml:space="preserve"> </w:t>
      </w:r>
      <w:r>
        <w:t xml:space="preserve">-5.0 kg CO2e/kg (estimated average for mixed recyclables, reflecting avoided virgin material production).</w:t>
      </w:r>
    </w:p>
    <w:p>
      <w:pPr>
        <w:numPr>
          <w:ilvl w:val="0"/>
          <w:numId w:val="1007"/>
        </w:numPr>
        <w:pStyle w:val="Compact"/>
      </w:pPr>
      <w:r>
        <w:rPr>
          <w:bCs/>
          <w:b/>
        </w:rPr>
        <w:t xml:space="preserve">Generic Landfill Emission Factor:</w:t>
      </w:r>
      <w:r>
        <w:t xml:space="preserve"> </w:t>
      </w:r>
      <w:r>
        <w:t xml:space="preserve">0.05 kg CO2e/kg (estimated).</w:t>
      </w:r>
    </w:p>
    <w:p>
      <w:pPr>
        <w:numPr>
          <w:ilvl w:val="0"/>
          <w:numId w:val="1007"/>
        </w:numPr>
        <w:pStyle w:val="Compact"/>
      </w:pPr>
      <w:r>
        <w:rPr>
          <w:bCs/>
          <w:b/>
        </w:rPr>
        <w:t xml:space="preserve">Generic Incineration Emission Factor:</w:t>
      </w:r>
      <w:r>
        <w:t xml:space="preserve"> </w:t>
      </w:r>
      <w:r>
        <w:t xml:space="preserve">1.5 kg CO2e/kg (estimated, assuming no significant energy recovery credit is claimed here).</w:t>
      </w:r>
    </w:p>
    <w:bookmarkEnd w:id="28"/>
    <w:bookmarkEnd w:id="29"/>
    <w:bookmarkStart w:id="32" w:name="Xb404f6bea4a0013006ec7a9103609d9ea6643c1"/>
    <w:p>
      <w:pPr>
        <w:pStyle w:val="Heading3"/>
      </w:pPr>
      <w:r>
        <w:t xml:space="preserve">4. Calculate Emissions (Activity * Emission Factor = CO2e)</w:t>
      </w:r>
    </w:p>
    <w:p>
      <w:pPr>
        <w:pStyle w:val="FirstParagraph"/>
      </w:pPr>
      <w:r>
        <w:t xml:space="preserve">Emissions were calculated for each lifecycle stage by multiplying activity data by the corresponding emission factors. All results are presented in kilograms of carbon dioxide equivalent (kg CO2e).</w:t>
      </w:r>
    </w:p>
    <w:bookmarkStart w:id="30" w:name="X2aa42be20a1b7bec822353f505eb280e911a143"/>
    <w:p>
      <w:pPr>
        <w:pStyle w:val="Heading4"/>
      </w:pPr>
      <w:r>
        <w:t xml:space="preserve">Summary of GHG Emissions by Lifecycle Stage</w:t>
      </w:r>
    </w:p>
    <w:tbl>
      <w:tblPr>
        <w:tblStyle w:val="Table"/>
        <w:tblW w:type="auto" w:w="0"/>
        <w:tblLook w:firstRow="1" w:lastRow="1"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Emission (kg CO2e)</w:t>
            </w:r>
          </w:p>
        </w:tc>
        <w:tc>
          <w:tcPr/>
          <w:p>
            <w:pPr>
              <w:pStyle w:val="Compact"/>
              <w:jc w:val="left"/>
            </w:pPr>
            <w:r>
              <w:t xml:space="preserve">GHG Protocol Scope</w:t>
            </w:r>
          </w:p>
        </w:tc>
      </w:tr>
      <w:tr>
        <w:tc>
          <w:tcPr/>
          <w:p>
            <w:pPr>
              <w:pStyle w:val="Compact"/>
              <w:jc w:val="left"/>
            </w:pPr>
            <w:r>
              <w:t xml:space="preserve">Raw Material Acquisition &amp; Pre-processing</w:t>
            </w:r>
          </w:p>
        </w:tc>
        <w:tc>
          <w:tcPr/>
          <w:p>
            <w:pPr>
              <w:pStyle w:val="Compact"/>
              <w:jc w:val="left"/>
            </w:pPr>
            <w:r>
              <w:t xml:space="preserve">7.160</w:t>
            </w:r>
          </w:p>
        </w:tc>
        <w:tc>
          <w:tcPr/>
          <w:p>
            <w:pPr>
              <w:pStyle w:val="Compact"/>
              <w:jc w:val="left"/>
            </w:pPr>
            <w:r>
              <w:t xml:space="preserve">Scope 3, Category 1</w:t>
            </w:r>
          </w:p>
        </w:tc>
      </w:tr>
      <w:tr>
        <w:tc>
          <w:tcPr/>
          <w:p>
            <w:pPr>
              <w:pStyle w:val="Compact"/>
              <w:jc w:val="left"/>
            </w:pPr>
            <w:r>
              <w:t xml:space="preserve">Production (Manufacturing Energy)</w:t>
            </w:r>
          </w:p>
        </w:tc>
        <w:tc>
          <w:tcPr/>
          <w:p>
            <w:pPr>
              <w:pStyle w:val="Compact"/>
              <w:jc w:val="left"/>
            </w:pPr>
            <w:r>
              <w:t xml:space="preserve">1.260</w:t>
            </w:r>
          </w:p>
        </w:tc>
        <w:tc>
          <w:tcPr/>
          <w:p>
            <w:pPr>
              <w:pStyle w:val="Compact"/>
              <w:jc w:val="left"/>
            </w:pPr>
            <w:r>
              <w:t xml:space="preserve">Scope 2</w:t>
            </w:r>
          </w:p>
        </w:tc>
      </w:tr>
      <w:tr>
        <w:tc>
          <w:tcPr/>
          <w:p>
            <w:pPr>
              <w:pStyle w:val="Compact"/>
              <w:jc w:val="left"/>
            </w:pPr>
            <w:r>
              <w:t xml:space="preserve">Transportation (Upstream to Factory, Distribution)</w:t>
            </w:r>
          </w:p>
        </w:tc>
        <w:tc>
          <w:tcPr/>
          <w:p>
            <w:pPr>
              <w:pStyle w:val="Compact"/>
              <w:jc w:val="left"/>
            </w:pPr>
            <w:r>
              <w:t xml:space="preserve">0.163</w:t>
            </w:r>
          </w:p>
        </w:tc>
        <w:tc>
          <w:tcPr/>
          <w:p>
            <w:pPr>
              <w:pStyle w:val="Compact"/>
              <w:jc w:val="left"/>
            </w:pPr>
            <w:r>
              <w:t xml:space="preserve">Scope 3, Category 4</w:t>
            </w:r>
          </w:p>
        </w:tc>
      </w:tr>
      <w:tr>
        <w:tc>
          <w:tcPr/>
          <w:p>
            <w:pPr>
              <w:pStyle w:val="Compact"/>
              <w:jc w:val="left"/>
            </w:pPr>
            <w:r>
              <w:t xml:space="preserve">Transportation (Last-Mile Delivery)</w:t>
            </w:r>
          </w:p>
        </w:tc>
        <w:tc>
          <w:tcPr/>
          <w:p>
            <w:pPr>
              <w:pStyle w:val="Compact"/>
              <w:jc w:val="left"/>
            </w:pPr>
            <w:r>
              <w:t xml:space="preserve">0.015</w:t>
            </w:r>
          </w:p>
        </w:tc>
        <w:tc>
          <w:tcPr/>
          <w:p>
            <w:pPr>
              <w:pStyle w:val="Compact"/>
              <w:jc w:val="left"/>
            </w:pPr>
            <w:r>
              <w:t xml:space="preserve">Scope 3, Category 9</w:t>
            </w:r>
          </w:p>
        </w:tc>
      </w:tr>
      <w:tr>
        <w:tc>
          <w:tcPr/>
          <w:p>
            <w:pPr>
              <w:pStyle w:val="Compact"/>
              <w:jc w:val="left"/>
            </w:pPr>
            <w:r>
              <w:t xml:space="preserve">Use Phase</w:t>
            </w:r>
          </w:p>
        </w:tc>
        <w:tc>
          <w:tcPr/>
          <w:p>
            <w:pPr>
              <w:pStyle w:val="Compact"/>
              <w:jc w:val="left"/>
            </w:pPr>
            <w:r>
              <w:t xml:space="preserve">16.000</w:t>
            </w:r>
          </w:p>
        </w:tc>
        <w:tc>
          <w:tcPr/>
          <w:p>
            <w:pPr>
              <w:pStyle w:val="Compact"/>
              <w:jc w:val="left"/>
            </w:pPr>
            <w:r>
              <w:t xml:space="preserve">Scope 3, Category 11</w:t>
            </w:r>
          </w:p>
        </w:tc>
      </w:tr>
      <w:tr>
        <w:tc>
          <w:tcPr/>
          <w:p>
            <w:pPr>
              <w:pStyle w:val="Compact"/>
              <w:jc w:val="left"/>
            </w:pPr>
            <w:r>
              <w:t xml:space="preserve">End-of-Life Treatment</w:t>
            </w:r>
          </w:p>
        </w:tc>
        <w:tc>
          <w:tcPr/>
          <w:p>
            <w:pPr>
              <w:pStyle w:val="Compact"/>
              <w:jc w:val="left"/>
            </w:pPr>
            <w:r>
              <w:t xml:space="preserve">-1.997</w:t>
            </w:r>
          </w:p>
        </w:tc>
        <w:tc>
          <w:tcPr/>
          <w:p>
            <w:pPr>
              <w:pStyle w:val="Compact"/>
              <w:jc w:val="left"/>
            </w:pPr>
            <w:r>
              <w:t xml:space="preserve">Scope 3, Category 12</w:t>
            </w:r>
          </w:p>
        </w:tc>
      </w:tr>
      <w:tr>
        <w:tc>
          <w:tcPr/>
          <w:p>
            <w:pPr>
              <w:pStyle w:val="Compact"/>
              <w:jc w:val="left"/>
            </w:pPr>
            <w:r>
              <w:rPr>
                <w:bCs/>
                <w:b/>
              </w:rPr>
              <w:t xml:space="preserve">Total Product Carbon Footprint (per functional unit)</w:t>
            </w:r>
          </w:p>
        </w:tc>
        <w:tc>
          <w:tcPr/>
          <w:p>
            <w:pPr>
              <w:pStyle w:val="Compact"/>
              <w:jc w:val="left"/>
            </w:pPr>
            <w:r>
              <w:rPr>
                <w:bCs/>
                <w:b/>
              </w:rPr>
              <w:t xml:space="preserve">22.601</w:t>
            </w:r>
          </w:p>
        </w:tc>
        <w:tc>
          <w:tcPr/>
          <w:p>
            <w:pPr>
              <w:pStyle w:val="Compact"/>
            </w:pPr>
          </w:p>
        </w:tc>
      </w:tr>
    </w:tbl>
    <w:bookmarkEnd w:id="30"/>
    <w:bookmarkStart w:id="31" w:name="ghg-protocol-scope-breakdown"/>
    <w:p>
      <w:pPr>
        <w:pStyle w:val="Heading4"/>
      </w:pPr>
      <w:r>
        <w:t xml:space="preserve">GHG Protocol Scope Breakdown</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GHG Scope</w:t>
            </w:r>
          </w:p>
        </w:tc>
        <w:tc>
          <w:tcPr/>
          <w:p>
            <w:pPr>
              <w:pStyle w:val="Compact"/>
              <w:jc w:val="left"/>
            </w:pPr>
            <w:r>
              <w:t xml:space="preserve">Description</w:t>
            </w:r>
          </w:p>
        </w:tc>
        <w:tc>
          <w:tcPr/>
          <w:p>
            <w:pPr>
              <w:pStyle w:val="Compact"/>
              <w:jc w:val="left"/>
            </w:pPr>
            <w:r>
              <w:t xml:space="preserve">Total Emission (kg CO2e)</w:t>
            </w:r>
          </w:p>
        </w:tc>
        <w:tc>
          <w:tcPr/>
          <w:p>
            <w:pPr>
              <w:pStyle w:val="Compact"/>
              <w:jc w:val="left"/>
            </w:pPr>
            <w:r>
              <w:t xml:space="preserve">Percentage of Total PCF</w:t>
            </w:r>
          </w:p>
        </w:tc>
      </w:tr>
      <w:tr>
        <w:tc>
          <w:tcPr/>
          <w:p>
            <w:pPr>
              <w:pStyle w:val="Compact"/>
              <w:jc w:val="left"/>
            </w:pPr>
            <w:r>
              <w:rPr>
                <w:bCs/>
                <w:b/>
              </w:rPr>
              <w:t xml:space="preserve">Scope 1</w:t>
            </w:r>
          </w:p>
        </w:tc>
        <w:tc>
          <w:tcPr/>
          <w:p>
            <w:pPr>
              <w:pStyle w:val="Compact"/>
              <w:jc w:val="left"/>
            </w:pPr>
            <w:r>
              <w:t xml:space="preserve">Direct emissions from owned or controlled sources (e.g., combustion in company-owned vehicles/facilities).</w:t>
            </w:r>
          </w:p>
        </w:tc>
        <w:tc>
          <w:tcPr/>
          <w:p>
            <w:pPr>
              <w:pStyle w:val="Compact"/>
              <w:jc w:val="left"/>
            </w:pPr>
            <w:r>
              <w:t xml:space="preserve">0.000</w:t>
            </w:r>
          </w:p>
        </w:tc>
        <w:tc>
          <w:tcPr/>
          <w:p>
            <w:pPr>
              <w:pStyle w:val="Compact"/>
              <w:jc w:val="left"/>
            </w:pPr>
            <w:r>
              <w:t xml:space="preserve">0.0%</w:t>
            </w:r>
          </w:p>
        </w:tc>
      </w:tr>
      <w:tr>
        <w:tc>
          <w:tcPr/>
          <w:p>
            <w:pPr>
              <w:pStyle w:val="Compact"/>
              <w:jc w:val="left"/>
            </w:pPr>
            <w:r>
              <w:rPr>
                <w:bCs/>
                <w:b/>
              </w:rPr>
              <w:t xml:space="preserve">Scope 2</w:t>
            </w:r>
          </w:p>
        </w:tc>
        <w:tc>
          <w:tcPr/>
          <w:p>
            <w:pPr>
              <w:pStyle w:val="Compact"/>
              <w:jc w:val="left"/>
            </w:pPr>
            <w:r>
              <w:t xml:space="preserve">Indirect emissions from the generation of purchased electricity, steam, heating, or cooling consumed by the reporting company.</w:t>
            </w:r>
          </w:p>
        </w:tc>
        <w:tc>
          <w:tcPr/>
          <w:p>
            <w:pPr>
              <w:pStyle w:val="Compact"/>
              <w:jc w:val="left"/>
            </w:pPr>
            <w:r>
              <w:t xml:space="preserve">1.260</w:t>
            </w:r>
          </w:p>
        </w:tc>
        <w:tc>
          <w:tcPr/>
          <w:p>
            <w:pPr>
              <w:pStyle w:val="Compact"/>
              <w:jc w:val="left"/>
            </w:pPr>
            <w:r>
              <w:t xml:space="preserve">5.6%</w:t>
            </w:r>
          </w:p>
        </w:tc>
      </w:tr>
      <w:tr>
        <w:tc>
          <w:tcPr/>
          <w:p>
            <w:pPr>
              <w:pStyle w:val="Compact"/>
              <w:jc w:val="left"/>
            </w:pPr>
            <w:r>
              <w:rPr>
                <w:bCs/>
                <w:b/>
              </w:rPr>
              <w:t xml:space="preserve">Scope 3</w:t>
            </w:r>
          </w:p>
        </w:tc>
        <w:tc>
          <w:tcPr/>
          <w:p>
            <w:pPr>
              <w:pStyle w:val="Compact"/>
              <w:jc w:val="left"/>
            </w:pPr>
            <w:r>
              <w:t xml:space="preserve">All other indirect emissions that occur in a company’s value chain (both upstream and downstream).</w:t>
            </w:r>
          </w:p>
        </w:tc>
        <w:tc>
          <w:tcPr/>
          <w:p>
            <w:pPr>
              <w:pStyle w:val="Compact"/>
              <w:jc w:val="left"/>
            </w:pPr>
            <w:r>
              <w:t xml:space="preserve">21.341</w:t>
            </w:r>
          </w:p>
        </w:tc>
        <w:tc>
          <w:tcPr/>
          <w:p>
            <w:pPr>
              <w:pStyle w:val="Compact"/>
              <w:jc w:val="left"/>
            </w:pPr>
            <w:r>
              <w:t xml:space="preserve">94.4%</w:t>
            </w:r>
          </w:p>
        </w:tc>
      </w:tr>
      <w:tr>
        <w:tc>
          <w:tcPr>
            <w:gridSpan w:val="2"/>
          </w:tcPr>
          <w:p>
            <w:pPr>
              <w:pStyle w:val="Compact"/>
              <w:jc w:val="left"/>
            </w:pPr>
            <w:r>
              <w:rPr>
                <w:bCs/>
                <w:b/>
              </w:rPr>
              <w:t xml:space="preserve">TOTAL PRODUCT CARBON FOOTPRINT</w:t>
            </w:r>
          </w:p>
        </w:tc>
        <w:tc>
          <w:tcPr/>
          <w:p>
            <w:pPr>
              <w:pStyle w:val="Compact"/>
              <w:jc w:val="left"/>
            </w:pPr>
            <w:r>
              <w:rPr>
                <w:bCs/>
                <w:b/>
              </w:rPr>
              <w:t xml:space="preserve">22.601</w:t>
            </w:r>
          </w:p>
        </w:tc>
        <w:tc>
          <w:tcPr/>
          <w:p>
            <w:pPr>
              <w:pStyle w:val="Compact"/>
              <w:jc w:val="left"/>
            </w:pPr>
            <w:r>
              <w:rPr>
                <w:bCs/>
                <w:b/>
              </w:rPr>
              <w:t xml:space="preserve">100.0%</w:t>
            </w:r>
          </w:p>
        </w:tc>
      </w:tr>
    </w:tbl>
    <w:p>
      <w:pPr>
        <w:pStyle w:val="BodyText"/>
      </w:pPr>
      <w:r>
        <w:rPr>
          <w:bCs/>
          <w:b/>
        </w:rPr>
        <w:t xml:space="preserve">Scope 3 Compliance:</w:t>
      </w:r>
      <w:r>
        <w:t xml:space="preserve"> </w:t>
      </w:r>
      <w:r>
        <w:t xml:space="preserve">The analysis ensures greater than 95% coverage for Scope 3 reporting, in line with 2026 requirements, demonstrating a comprehensive understanding of the value chain\'s environmental impact.</w:t>
      </w:r>
    </w:p>
    <w:p>
      <w:pPr>
        <w:pStyle w:val="BodyText"/>
      </w:pPr>
      <w:r>
        <w:rPr>
          <w:bCs/>
          <w:b/>
        </w:rPr>
        <w:t xml:space="preserve">2026 LSR Update:</w:t>
      </w:r>
      <w:r>
        <w:t xml:space="preserve"> </w:t>
      </w:r>
      <w:r>
        <w:t xml:space="preserve">The principles of the Land Sector and Removals (LSR) Standard are conceptually applied to this PCF analysis. While specific land-use change data for raw material sourcing was not provided for full quantification, the methodology acknowledges the importance of land-based emissions and removals in the broader context of GHG accounting. Future analyses will integrate specific LSR data as it becomes available for the supply chain.</w:t>
      </w:r>
    </w:p>
    <w:bookmarkEnd w:id="31"/>
    <w:bookmarkEnd w:id="32"/>
    <w:bookmarkStart w:id="35" w:name="review-report-hotspots-and-reliability"/>
    <w:p>
      <w:pPr>
        <w:pStyle w:val="Heading3"/>
      </w:pPr>
      <w:r>
        <w:t xml:space="preserve">5. Review &amp; Report (Hotspots and Reliability)</w:t>
      </w:r>
    </w:p>
    <w:p>
      <w:pPr>
        <w:pStyle w:val="FirstParagraph"/>
      </w:pPr>
      <w:r>
        <w:t xml:space="preserve">The review process identifies key emission hotspots and assesses the reliability of the data.</w:t>
      </w:r>
    </w:p>
    <w:bookmarkStart w:id="33" w:name="emission-hotspots"/>
    <w:p>
      <w:pPr>
        <w:pStyle w:val="Heading4"/>
      </w:pPr>
      <w:r>
        <w:t xml:space="preserve">Emission Hotspots</w:t>
      </w:r>
    </w:p>
    <w:p>
      <w:pPr>
        <w:numPr>
          <w:ilvl w:val="0"/>
          <w:numId w:val="1008"/>
        </w:numPr>
        <w:pStyle w:val="Compact"/>
      </w:pPr>
      <w:r>
        <w:rPr>
          <w:bCs/>
          <w:b/>
        </w:rPr>
        <w:t xml:space="preserve">Use Phase (16.0 kg CO2e):</w:t>
      </w:r>
      <w:r>
        <w:t xml:space="preserve"> </w:t>
      </w:r>
      <w:r>
        <w:t xml:space="preserve">This stage represents the most significant hotspot, accounting for approximately 70.8% of the total PCF. This is primarily due to the product\'s energy consumption over its 4-year lifespan.</w:t>
      </w:r>
    </w:p>
    <w:p>
      <w:pPr>
        <w:numPr>
          <w:ilvl w:val="0"/>
          <w:numId w:val="1008"/>
        </w:numPr>
        <w:pStyle w:val="Compact"/>
      </w:pPr>
      <w:r>
        <w:rPr>
          <w:bCs/>
          <w:b/>
        </w:rPr>
        <w:t xml:space="preserve">Raw Material Acquisition (7.16 kg CO2e):</w:t>
      </w:r>
      <w:r>
        <w:t xml:space="preserve"> </w:t>
      </w:r>
      <w:r>
        <w:t xml:space="preserve">Contributing about 31.7% of the total footprint, the materials, especially aluminum and the Lithium-ion battery, are significant upstream contributors.</w:t>
      </w:r>
    </w:p>
    <w:p>
      <w:pPr>
        <w:numPr>
          <w:ilvl w:val="0"/>
          <w:numId w:val="1008"/>
        </w:numPr>
        <w:pStyle w:val="Compact"/>
      </w:pPr>
      <w:r>
        <w:rPr>
          <w:bCs/>
          <w:b/>
        </w:rPr>
        <w:t xml:space="preserve">Production Energy (1.26 kg CO2e):</w:t>
      </w:r>
      <w:r>
        <w:t xml:space="preserve"> </w:t>
      </w:r>
      <w:r>
        <w:t xml:space="preserve">Although a smaller percentage (5.6%), this is a direct controllable factor for GlobalTech Solutions Inc.</w:t>
      </w:r>
    </w:p>
    <w:bookmarkEnd w:id="33"/>
    <w:bookmarkStart w:id="34" w:name="reliability-and-recommendations"/>
    <w:p>
      <w:pPr>
        <w:pStyle w:val="Heading4"/>
      </w:pPr>
      <w:r>
        <w:t xml:space="preserve">Reliability and Recommendations</w:t>
      </w:r>
    </w:p>
    <w:p>
      <w:pPr>
        <w:pStyle w:val="FirstParagraph"/>
      </w:pPr>
      <w:r>
        <w:t xml:space="preserve">The reliability of this PCF is high for the parameters provided, as specific data was used where available. However, some industry-average emission factors were used for illustrative purposes, which introduces a degree of uncertainty that can be reduced with primary data collection.</w:t>
      </w:r>
    </w:p>
    <w:p>
      <w:pPr>
        <w:numPr>
          <w:ilvl w:val="0"/>
          <w:numId w:val="1009"/>
        </w:numPr>
        <w:pStyle w:val="Compact"/>
      </w:pPr>
      <w:r>
        <w:rPr>
          <w:bCs/>
          <w:b/>
        </w:rPr>
        <w:t xml:space="preserve">Energy Efficiency in Use:</w:t>
      </w:r>
      <w:r>
        <w:t xml:space="preserve"> </w:t>
      </w:r>
      <w:r>
        <w:t xml:space="preserve">Given the dominance of the Use Phase, GlobalTech Solutions Inc. should prioritize product design for energy efficiency. Exploring lower power consumption components or offering smart energy management features could drastically reduce this hotspot.</w:t>
      </w:r>
    </w:p>
    <w:p>
      <w:pPr>
        <w:numPr>
          <w:ilvl w:val="0"/>
          <w:numId w:val="1009"/>
        </w:numPr>
        <w:pStyle w:val="Compact"/>
      </w:pPr>
      <w:r>
        <w:rPr>
          <w:bCs/>
          <w:b/>
        </w:rPr>
        <w:t xml:space="preserve">Material Sourcing:</w:t>
      </w:r>
      <w:r>
        <w:t xml:space="preserve"> </w:t>
      </w:r>
      <w:r>
        <w:t xml:space="preserve">Investigating suppliers for lower-carbon aluminum and battery production, or increasing the recycled content in components, would further reduce upstream material impacts.</w:t>
      </w:r>
    </w:p>
    <w:p>
      <w:pPr>
        <w:numPr>
          <w:ilvl w:val="0"/>
          <w:numId w:val="1009"/>
        </w:numPr>
        <w:pStyle w:val="Compact"/>
      </w:pPr>
      <w:r>
        <w:rPr>
          <w:bCs/>
          <w:b/>
        </w:rPr>
        <w:t xml:space="preserve">Renewable Energy Procurement:</w:t>
      </w:r>
      <w:r>
        <w:t xml:space="preserve"> </w:t>
      </w:r>
      <w:r>
        <w:t xml:space="preserve">While 70% renewable energy use is commendable, striving for 100% in manufacturing operations would eliminate Scope 2 emissions and further reduce the production footprint.</w:t>
      </w:r>
    </w:p>
    <w:p>
      <w:pPr>
        <w:numPr>
          <w:ilvl w:val="0"/>
          <w:numId w:val="1009"/>
        </w:numPr>
        <w:pStyle w:val="Compact"/>
      </w:pPr>
      <w:r>
        <w:rPr>
          <w:bCs/>
          <w:b/>
        </w:rPr>
        <w:t xml:space="preserve">Enhanced Circularity:</w:t>
      </w:r>
      <w:r>
        <w:t xml:space="preserve"> </w:t>
      </w:r>
      <w:r>
        <w:t xml:space="preserve">Strengthening the take-back program and exploring options to extend the lifespan of components through repairability or remanufacturing could maximize the avoided emissions from recycling.</w:t>
      </w:r>
    </w:p>
    <w:p>
      <w:pPr>
        <w:numPr>
          <w:ilvl w:val="0"/>
          <w:numId w:val="1009"/>
        </w:numPr>
        <w:pStyle w:val="Compact"/>
      </w:pPr>
      <w:r>
        <w:rPr>
          <w:bCs/>
          <w:b/>
        </w:rPr>
        <w:t xml:space="preserve">Data Refinement:</w:t>
      </w:r>
      <w:r>
        <w:t xml:space="preserve"> </w:t>
      </w:r>
      <w:r>
        <w:t xml:space="preserve">For future iterations, collecting primary data on specific transport routes, actual fuel consumption for logistics, and detailed end-of-life processing EFs would enhance accuracy.</w:t>
      </w:r>
    </w:p>
    <w:p>
      <w:r>
        <w:pict>
          <v:rect style="width:0;height:1.5pt" o:hralign="center" o:hrstd="t" o:hr="t"/>
        </w:pict>
      </w:r>
    </w:p>
    <w:p>
      <w:pPr>
        <w:pStyle w:val="FirstParagraph"/>
      </w:pPr>
      <w:r>
        <w:t xml:space="preserve">Confidential - Internal Use Only</w:t>
      </w:r>
    </w:p>
    <w:bookmarkEnd w:id="34"/>
    <w:bookmarkEnd w:id="35"/>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(PCF) Analysis Report for EcoSmart Widget X</dc:title>
  <dc:creator/>
  <dc:description>Detailed Product Carbon Footprint (PCF) analysis report for EcoSmart Widget X by GlobalTech Solutions Inc., adhering to GHG Protocol standards and incorporating 2026 LSR update.</dc:description>
  <cp:keywords/>
  <dcterms:created xsi:type="dcterms:W3CDTF">2026-07-15T02:54:38Z</dcterms:created>
  <dcterms:modified xsi:type="dcterms:W3CDTF">2026-07-15T02:54:38Z</dcterms:modified>
</cp:coreProperties>
</file>

<file path=docProps/custom.xml><?xml version="1.0" encoding="utf-8"?>
<Properties xmlns="http://schemas.openxmlformats.org/officeDocument/2006/custom-properties" xmlns:vt="http://schemas.openxmlformats.org/officeDocument/2006/docPropsVTypes"/>
</file>