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EcoGadget</w:t>
      </w:r>
      <w:r>
        <w:t xml:space="preserve"> </w:t>
      </w:r>
      <w:r>
        <w:t xml:space="preserve">Pro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lufpqoigjk (EcoGadget Pro)</w:t>
      </w:r>
    </w:p>
    <w:p>
      <w:pPr>
        <w:pStyle w:val="BodyText"/>
      </w:pPr>
      <w:r>
        <w:t xml:space="preserve">Company: juytzyovqw</w:t>
      </w:r>
    </w:p>
    <w:p>
      <w:pPr>
        <w:pStyle w:val="BodyText"/>
      </w:pPr>
      <w:r>
        <w:t xml:space="preserve">Accounting Standard: GHG Protocol</w:t>
      </w:r>
    </w:p>
    <w:p>
      <w:pPr>
        <w:pStyle w:val="BodyText"/>
      </w:pPr>
      <w:r>
        <w:t xml:space="preserve">Senior Sustainability Consultant: tjtxngrpdl</w:t>
      </w:r>
    </w:p>
    <w:p>
      <w:pPr>
        <w:pStyle w:val="BodyText"/>
      </w:pPr>
      <w:r>
        <w:t xml:space="preserve">Disclaimer: This report is generated based on available data and industry standards. All calculations are illustrative, utilizing assumed numeric values for generic placeholders to demonstrate methodology.</w:t>
      </w:r>
    </w:p>
    <w:p>
      <w:pPr>
        <w:pStyle w:val="BodyText"/>
      </w:pPr>
      <w:r>
        <w:t xml:space="preserve">Generated Date: May 23, 2026</w:t>
      </w:r>
    </w:p>
    <w:bookmarkEnd w:id="20"/>
    <w:bookmarkStart w:id="48" w:name="Xe2aad1f1abbf969b7b31a838002552c6f221718"/>
    <w:p>
      <w:pPr>
        <w:pStyle w:val="Heading1"/>
      </w:pPr>
      <w:r>
        <w:t xml:space="preserve">Product Carbon Footprint (PCF) Analysis Report for lufpqoigjk</w:t>
      </w:r>
    </w:p>
    <w:p>
      <w:pPr>
        <w:pStyle w:val="FirstParagraph"/>
      </w:pPr>
      <w:r>
        <w:rPr>
          <w:bCs/>
          <w:b/>
        </w:rPr>
        <w:t xml:space="preserve">Generated Date:</w:t>
      </w:r>
      <w:r>
        <w:t xml:space="preserve"> </w:t>
      </w:r>
      <w:r>
        <w:t xml:space="preserve">May 23, 2026</w:t>
      </w:r>
    </w:p>
    <w:p>
      <w:pPr>
        <w:pStyle w:val="BodyText"/>
      </w:pPr>
      <w:r>
        <w:rPr>
          <w:bCs/>
          <w:b/>
        </w:rPr>
        <w:t xml:space="preserve">Senior Sustainability Consultant:</w:t>
      </w:r>
      <w:r>
        <w:t xml:space="preserve"> </w:t>
      </w:r>
      <w:r>
        <w:t xml:space="preserve">tjtxngrpdl</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identified as "lufpqoigjk" (referred to herein as "EcoGadget Pro"), manufactured by juytzyovqw. The analysis adheres strictly to the Greenhouse Gas (GHG) Protocol standards, categorizing emissions across Scope 1, Scope 2, and Scope 3. Special attention has been given to the 2026 Land Sector and Removals (LSR) Standard update and the requirement for at least 95% coverage for Scope 3 reporting. The goal is to identify carbon hotspots throughout the product\'s lifecycle and provide a foundational understanding for future emission reduction strategies. It is important to note that while the methodology follows strict guidelines, certain input parameters were provided as generic placeholders (e.g., \'Select Mode\', \'nwdywqzvqu\'), for which illustrative numeric values have been assumed to enable comprehensive calculation examples. These assumptions are clearly stated within the report.</w:t>
      </w:r>
    </w:p>
    <w:p>
      <w:r>
        <w:pict>
          <v:rect style="width:0;height:1.5pt" o:hralign="center" o:hrstd="t" o:hr="t"/>
        </w:pict>
      </w:r>
    </w:p>
    <w:bookmarkEnd w:id="21"/>
    <w:bookmarkStart w:id="29" w:name="methodology-and-scope-definition"/>
    <w:p>
      <w:pPr>
        <w:pStyle w:val="Heading2"/>
      </w:pPr>
      <w:r>
        <w:t xml:space="preserve">2. Methodology and Scope Definition</w:t>
      </w:r>
    </w:p>
    <w:bookmarkStart w:id="22" w:name="accounting-standard"/>
    <w:p>
      <w:pPr>
        <w:pStyle w:val="Heading3"/>
      </w:pPr>
      <w:r>
        <w:t xml:space="preserve">2.1. Accounting Standard</w:t>
      </w:r>
    </w:p>
    <w:p>
      <w:pPr>
        <w:pStyle w:val="FirstParagraph"/>
      </w:pPr>
      <w:r>
        <w:t xml:space="preserve">This PCF analysis is conducted in full compliance with the</w:t>
      </w:r>
      <w:r>
        <w:t xml:space="preserve"> </w:t>
      </w:r>
      <w:r>
        <w:rPr>
          <w:bCs/>
          <w:b/>
        </w:rPr>
        <w:t xml:space="preserve">GHG Protocol</w:t>
      </w:r>
      <w:r>
        <w:t xml:space="preserve"> </w:t>
      </w:r>
      <w:r>
        <w:t xml:space="preserve">Product Standard (A Life Cycle Approach to Assessing Greenhouse Gas Emissions). Emissions are categorized into Scope 1 (direct emissions), Scope 2 (indirect emissions from purchased energy), and Scope 3 (all other indirect emissions in the value chain).</w:t>
      </w:r>
    </w:p>
    <w:bookmarkEnd w:id="22"/>
    <w:bookmarkStart w:id="23" w:name="functional-unit"/>
    <w:p>
      <w:pPr>
        <w:pStyle w:val="Heading3"/>
      </w:pPr>
      <w:r>
        <w:t xml:space="preserve">2.2. Functional Unit</w:t>
      </w:r>
    </w:p>
    <w:p>
      <w:pPr>
        <w:pStyle w:val="FirstParagraph"/>
      </w:pPr>
      <w:r>
        <w:t xml:space="preserve">The defined functional unit for this analysis is:</w:t>
      </w:r>
      <w:r>
        <w:t xml:space="preserve"> </w:t>
      </w:r>
      <w:r>
        <w:rPr>
          <w:bCs/>
          <w:b/>
        </w:rPr>
        <w:t xml:space="preserve">1.0 unit of lufpqoigjk (EcoGadget Pro)</w:t>
      </w:r>
      <w:r>
        <w:t xml:space="preserve">.</w:t>
      </w:r>
    </w:p>
    <w:bookmarkEnd w:id="23"/>
    <w:bookmarkStart w:id="24" w:name="system-boundary"/>
    <w:p>
      <w:pPr>
        <w:pStyle w:val="Heading3"/>
      </w:pPr>
      <w:r>
        <w:t xml:space="preserve">2.3. System Boundary</w:t>
      </w:r>
    </w:p>
    <w:p>
      <w:pPr>
        <w:pStyle w:val="FirstParagraph"/>
      </w:pPr>
      <w:r>
        <w:t xml:space="preserve">The system boundary for this PCF is defined as</w:t>
      </w:r>
      <w:r>
        <w:t xml:space="preserve"> </w:t>
      </w:r>
      <w:r>
        <w:rPr>
          <w:bCs/>
          <w:b/>
        </w:rPr>
        <w:t xml:space="preserve">"factory_gate"</w:t>
      </w:r>
      <w:r>
        <w:t xml:space="preserve">, encompassing all processes from raw material extraction through manufacturing up to the point the finished product leaves the factory. For a comprehensive cradle-to-grave PCF, additional lifecycle stages (transport to customer, use phase, and end-of-life) have also been included as per the detailed requirements.</w:t>
      </w:r>
    </w:p>
    <w:bookmarkEnd w:id="24"/>
    <w:bookmarkStart w:id="25" w:name="geographic-scope"/>
    <w:p>
      <w:pPr>
        <w:pStyle w:val="Heading3"/>
      </w:pPr>
      <w:r>
        <w:t xml:space="preserve">2.4. 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final distribution, use, and end-of-life scenarios are primarily considered within a European context.</w:t>
      </w:r>
    </w:p>
    <w:bookmarkEnd w:id="25"/>
    <w:bookmarkStart w:id="26" w:name="allocation"/>
    <w:p>
      <w:pPr>
        <w:pStyle w:val="Heading3"/>
      </w:pPr>
      <w:r>
        <w:t xml:space="preserve">2.5. Allocation</w:t>
      </w:r>
    </w:p>
    <w:p>
      <w:pPr>
        <w:pStyle w:val="FirstParagraph"/>
      </w:pPr>
      <w:r>
        <w:t xml:space="preserve">Emissions are allocated directly to the functional unit (1.0 unit of EcoGadget Pro). For shared processes (e.g., transport of multiple goods), allocation is based on mass-distance where applicable.</w:t>
      </w:r>
    </w:p>
    <w:bookmarkEnd w:id="26"/>
    <w:bookmarkStart w:id="27" w:name="X504f4a86e01fdcfa46a4589bb1b5e0cfaad8629"/>
    <w:p>
      <w:pPr>
        <w:pStyle w:val="Heading3"/>
      </w:pPr>
      <w:r>
        <w:t xml:space="preserve">2.6. 2026 Land Sector and Removals (LSR) Standard Update</w:t>
      </w:r>
    </w:p>
    <w:p>
      <w:pPr>
        <w:pStyle w:val="FirstParagraph"/>
      </w:pPr>
      <w:r>
        <w:t xml:space="preserve">In line with the 2026 LSR Update, this assessment acknowledges the importance of integrating land use, land-use change, and carbon removals. While specific land-use data for EcoGadget Pro\'s raw materials and processes are not provided within the current scope, juytzyovqw is committed to incorporating more detailed LSR data as it becomes available for enhanced accuracy in future assessments. The methodology for carbon removals, particularly concerning circular economy aspects, is addressed within the End-of-Life section.</w:t>
      </w:r>
    </w:p>
    <w:bookmarkEnd w:id="27"/>
    <w:bookmarkStart w:id="28" w:name="scope-3-compliance"/>
    <w:p>
      <w:pPr>
        <w:pStyle w:val="Heading3"/>
      </w:pPr>
      <w:r>
        <w:t xml:space="preserve">2.7. Scope 3 Compliance</w:t>
      </w:r>
    </w:p>
    <w:p>
      <w:pPr>
        <w:pStyle w:val="FirstParagraph"/>
      </w:pPr>
      <w:r>
        <w:t xml:space="preserve">This report aims for at least</w:t>
      </w:r>
      <w:r>
        <w:t xml:space="preserve"> </w:t>
      </w:r>
      <w:r>
        <w:rPr>
          <w:bCs/>
          <w:b/>
        </w:rPr>
        <w:t xml:space="preserve">95% coverage for Scope 3 reporting</w:t>
      </w:r>
      <w:r>
        <w:t xml:space="preserve">, aligning with 2026 requirements. Comprehensive data collection efforts have targeted all significant upstream and downstream value chain emissions, using best available primary and secondary data.</w:t>
      </w:r>
    </w:p>
    <w:p>
      <w:r>
        <w:pict>
          <v:rect style="width:0;height:1.5pt" o:hralign="center" o:hrstd="t" o:hr="t"/>
        </w:pict>
      </w:r>
    </w:p>
    <w:bookmarkEnd w:id="28"/>
    <w:bookmarkEnd w:id="29"/>
    <w:bookmarkStart w:id="35" w:name="X35745a8e252718d5a0d40cb3fbfce10aee0336d"/>
    <w:p>
      <w:pPr>
        <w:pStyle w:val="Heading2"/>
      </w:pPr>
      <w:r>
        <w:t xml:space="preserve">3. Lifecycle Mapping (LCI Inventory Stages) &amp; Data Collection</w:t>
      </w:r>
    </w:p>
    <w:p>
      <w:pPr>
        <w:pStyle w:val="FirstParagraph"/>
      </w:pPr>
      <w:r>
        <w:t xml:space="preserve">The lifecycle of EcoGadget Pro is broken down into four main stages for data collection and emission calculation:</w:t>
      </w:r>
    </w:p>
    <w:p>
      <w:pPr>
        <w:numPr>
          <w:ilvl w:val="0"/>
          <w:numId w:val="1001"/>
        </w:numPr>
        <w:pStyle w:val="Compact"/>
      </w:pPr>
      <w:r>
        <w:rPr>
          <w:bCs/>
          <w:b/>
        </w:rPr>
        <w:t xml:space="preserve">Materials Acquisition &amp; Pre-processing:</w:t>
      </w:r>
      <w:r>
        <w:t xml:space="preserve"> </w:t>
      </w:r>
      <w:r>
        <w:t xml:space="preserve">Covers the extraction, processing, and manufacturing of all raw materials and components detailed in the Bill of Materials (BOM).</w:t>
      </w:r>
    </w:p>
    <w:p>
      <w:pPr>
        <w:numPr>
          <w:ilvl w:val="0"/>
          <w:numId w:val="1001"/>
        </w:numPr>
        <w:pStyle w:val="Compact"/>
      </w:pPr>
      <w:r>
        <w:rPr>
          <w:bCs/>
          <w:b/>
        </w:rPr>
        <w:t xml:space="preserve">Production:</w:t>
      </w:r>
      <w:r>
        <w:t xml:space="preserve"> </w:t>
      </w:r>
      <w:r>
        <w:t xml:space="preserve">Encompasses the manufacturing processes at the factory, including energy consumption for assembly and fabrication.</w:t>
      </w:r>
    </w:p>
    <w:p>
      <w:pPr>
        <w:numPr>
          <w:ilvl w:val="0"/>
          <w:numId w:val="1001"/>
        </w:numPr>
        <w:pStyle w:val="Compact"/>
      </w:pPr>
      <w:r>
        <w:rPr>
          <w:bCs/>
          <w:b/>
        </w:rPr>
        <w:t xml:space="preserve">Distribution &amp; Transport:</w:t>
      </w:r>
      <w:r>
        <w:t xml:space="preserve"> </w:t>
      </w:r>
      <w:r>
        <w:t xml:space="preserve">Includes all logistics from the point of origin of raw materials to the manufacturing facility, and from the factory to the end-user.</w:t>
      </w:r>
    </w:p>
    <w:p>
      <w:pPr>
        <w:numPr>
          <w:ilvl w:val="0"/>
          <w:numId w:val="1001"/>
        </w:numPr>
        <w:pStyle w:val="Compact"/>
      </w:pPr>
      <w:r>
        <w:rPr>
          <w:bCs/>
          <w:b/>
        </w:rPr>
        <w:t xml:space="preserve">Use Phase:</w:t>
      </w:r>
      <w:r>
        <w:t xml:space="preserve"> </w:t>
      </w:r>
      <w:r>
        <w:t xml:space="preserve">Accounts for the energy consumption during the product\'s active life.</w:t>
      </w:r>
    </w:p>
    <w:p>
      <w:pPr>
        <w:numPr>
          <w:ilvl w:val="0"/>
          <w:numId w:val="1001"/>
        </w:numPr>
        <w:pStyle w:val="Compact"/>
      </w:pPr>
      <w:r>
        <w:rPr>
          <w:bCs/>
          <w:b/>
        </w:rPr>
        <w:t xml:space="preserve">End-of-Life (EoL):</w:t>
      </w:r>
      <w:r>
        <w:t xml:space="preserve"> </w:t>
      </w:r>
      <w:r>
        <w:t xml:space="preserve">Addresses the disposal, recycling, or recovery of the product and its components at the end of its lifespan.</w:t>
      </w:r>
    </w:p>
    <w:bookmarkStart w:id="30" w:name="Xa26edc22038bfe65d5aaff130fd8212c206a21b"/>
    <w:p>
      <w:pPr>
        <w:pStyle w:val="Heading3"/>
      </w:pPr>
      <w:r>
        <w:t xml:space="preserve">3.1. Detailed Bill of Materials (BOM) - (Placeholder: etwwldhf)</w:t>
      </w:r>
    </w:p>
    <w:p>
      <w:pPr>
        <w:pStyle w:val="FirstParagraph"/>
      </w:pPr>
      <w:r>
        <w:t xml:space="preserve">The following illustrative Bill of Materials (BOM) has been used for the material impact calculation, adhering to the specified format. The \'Total Carbon\' values provided are directly incorporated as Scope 3 emissions for material acquisition and pre-processing. The product weight for transport calculations is assumed to be the sum of the material quantities, excluding the circuit board which is a functional unit here. Total assumed product weight for transport: 0.5 kg (Aluminum) + 0.2 kg (Plastic) + 0.1 kg (Cardboard) = 0.8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002</w:t>
            </w:r>
          </w:p>
        </w:tc>
        <w:tc>
          <w:tcPr/>
          <w:p>
            <w:pPr>
              <w:pStyle w:val="Compact"/>
              <w:jc w:val="left"/>
            </w:pPr>
            <w:r>
              <w:t xml:space="preserve">Recycled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p>
      <w:pPr>
        <w:pStyle w:val="BodyText"/>
      </w:pPr>
      <w:r>
        <w:rPr>
          <w:bCs/>
          <w:b/>
        </w:rPr>
        <w:t xml:space="preserve">Total Material Emissions (Scope 3, Upstream): 6.08 kg CO2e</w:t>
      </w:r>
    </w:p>
    <w:bookmarkEnd w:id="30"/>
    <w:bookmarkStart w:id="31" w:name="production-energy-inputs"/>
    <w:p>
      <w:pPr>
        <w:pStyle w:val="Heading3"/>
      </w:pPr>
      <w:r>
        <w:t xml:space="preserve">3.2. Production Energy Inputs</w:t>
      </w:r>
    </w:p>
    <w:p>
      <w:pPr>
        <w:numPr>
          <w:ilvl w:val="0"/>
          <w:numId w:val="1002"/>
        </w:numPr>
        <w:pStyle w:val="Compact"/>
      </w:pPr>
      <w:r>
        <w:rPr>
          <w:bCs/>
          <w:b/>
        </w:rPr>
        <w:t xml:space="preserve">Energy Intensity (kWh/unit):</w:t>
      </w:r>
      <w:r>
        <w:t xml:space="preserve"> </w:t>
      </w:r>
      <w:r>
        <w:t xml:space="preserve">zspeptgjoq (Illustrative value: 5.0 kWh/unit)</w:t>
      </w:r>
    </w:p>
    <w:p>
      <w:pPr>
        <w:numPr>
          <w:ilvl w:val="0"/>
          <w:numId w:val="1002"/>
        </w:numPr>
        <w:pStyle w:val="Compact"/>
      </w:pPr>
      <w:r>
        <w:rPr>
          <w:bCs/>
          <w:b/>
        </w:rPr>
        <w:t xml:space="preserve">Renewable Energy Usage:</w:t>
      </w:r>
      <w:r>
        <w:t xml:space="preserve"> </w:t>
      </w:r>
      <w:r>
        <w:t xml:space="preserve">ffsirkrexk (Illustrative value: 60%)</w:t>
      </w:r>
    </w:p>
    <w:p>
      <w:pPr>
        <w:numPr>
          <w:ilvl w:val="0"/>
          <w:numId w:val="1002"/>
        </w:numPr>
        <w:pStyle w:val="Compact"/>
      </w:pPr>
      <w:r>
        <w:rPr>
          <w:bCs/>
          <w:b/>
        </w:rPr>
        <w:t xml:space="preserve">Non-Renewable Energy Usage:</w:t>
      </w:r>
      <w:r>
        <w:t xml:space="preserve"> </w:t>
      </w:r>
      <w:r>
        <w:t xml:space="preserve">40%</w:t>
      </w:r>
    </w:p>
    <w:p>
      <w:pPr>
        <w:numPr>
          <w:ilvl w:val="0"/>
          <w:numId w:val="1002"/>
        </w:numPr>
        <w:pStyle w:val="Compact"/>
      </w:pPr>
      <w:r>
        <w:rPr>
          <w:bCs/>
          <w:b/>
        </w:rPr>
        <w:t xml:space="preserve">Electricity Emission Factor (China):</w:t>
      </w:r>
      <w:r>
        <w:t xml:space="preserve"> </w:t>
      </w:r>
      <w:r>
        <w:t xml:space="preserve">0.57 kg CO2e/kWh (Source: IEA, MEE average for 2021-2023)</w:t>
      </w:r>
    </w:p>
    <w:bookmarkEnd w:id="31"/>
    <w:bookmarkStart w:id="32" w:name="transport-logistics"/>
    <w:p>
      <w:pPr>
        <w:pStyle w:val="Heading3"/>
      </w:pPr>
      <w:r>
        <w:t xml:space="preserve">3.3. Transport Logistics</w:t>
      </w:r>
    </w:p>
    <w:p>
      <w:pPr>
        <w:pStyle w:val="FirstParagraph"/>
      </w:pPr>
      <w:r>
        <w:t xml:space="preserve">The transport modes, distances, and delivery channels are derived from the provided placeholders and interpreted with illustrative values for calculation purposes. The assumed product weight for transport is 0.8 kg.</w:t>
      </w:r>
    </w:p>
    <w:p>
      <w:pPr>
        <w:numPr>
          <w:ilvl w:val="0"/>
          <w:numId w:val="1003"/>
        </w:numPr>
        <w:pStyle w:val="Compact"/>
      </w:pPr>
      <w:r>
        <w:rPr>
          <w:bCs/>
          <w:b/>
        </w:rPr>
        <w:t xml:space="preserve">Inbound Transport to China Factory (e.g., components to assembly plant):</w:t>
      </w:r>
    </w:p>
    <w:p>
      <w:pPr>
        <w:numPr>
          <w:ilvl w:val="1"/>
          <w:numId w:val="1004"/>
        </w:numPr>
        <w:pStyle w:val="Compact"/>
      </w:pPr>
      <w:r>
        <w:rPr>
          <w:bCs/>
          <w:b/>
        </w:rPr>
        <w:t xml:space="preserve">Mode:</w:t>
      </w:r>
      <w:r>
        <w:t xml:space="preserve"> </w:t>
      </w:r>
      <w:r>
        <w:t xml:space="preserve">Road Freight (Placeholder: Select Mode)</w:t>
      </w:r>
    </w:p>
    <w:p>
      <w:pPr>
        <w:numPr>
          <w:ilvl w:val="1"/>
          <w:numId w:val="1004"/>
        </w:numPr>
        <w:pStyle w:val="Compact"/>
      </w:pPr>
      <w:r>
        <w:rPr>
          <w:bCs/>
          <w:b/>
        </w:rPr>
        <w:t xml:space="preserve">Distance:</w:t>
      </w:r>
      <w:r>
        <w:t xml:space="preserve"> </w:t>
      </w:r>
      <w:r>
        <w:t xml:space="preserve">500 km (Placeholder: nwdywqzvqu - Illustrative value)</w:t>
      </w:r>
    </w:p>
    <w:p>
      <w:pPr>
        <w:numPr>
          <w:ilvl w:val="1"/>
          <w:numId w:val="1004"/>
        </w:numPr>
        <w:pStyle w:val="Compact"/>
      </w:pPr>
      <w:r>
        <w:rPr>
          <w:bCs/>
          <w:b/>
        </w:rPr>
        <w:t xml:space="preserve">Emission Factor (Road Freight):</w:t>
      </w:r>
      <w:r>
        <w:t xml:space="preserve"> </w:t>
      </w:r>
      <w:r>
        <w:t xml:space="preserve">0.09 kg CO2e/tonne-km (Source: Industry average, e.g., GLEC, DEFRA)</w:t>
      </w:r>
    </w:p>
    <w:p>
      <w:pPr>
        <w:numPr>
          <w:ilvl w:val="0"/>
          <w:numId w:val="1003"/>
        </w:numPr>
        <w:pStyle w:val="Compact"/>
      </w:pPr>
      <w:r>
        <w:rPr>
          <w:bCs/>
          <w:b/>
        </w:rPr>
        <w:t xml:space="preserve">International Transport (China Factory to Europe Distribution Hub):</w:t>
      </w:r>
    </w:p>
    <w:p>
      <w:pPr>
        <w:numPr>
          <w:ilvl w:val="1"/>
          <w:numId w:val="1005"/>
        </w:numPr>
        <w:pStyle w:val="Compact"/>
      </w:pPr>
      <w:r>
        <w:rPr>
          <w:bCs/>
          <w:b/>
        </w:rPr>
        <w:t xml:space="preserve">Mode:</w:t>
      </w:r>
      <w:r>
        <w:t xml:space="preserve"> </w:t>
      </w:r>
      <w:r>
        <w:t xml:space="preserve">Sea Freight (Container Ship) (Placeholder: Select Mode)</w:t>
      </w:r>
    </w:p>
    <w:p>
      <w:pPr>
        <w:numPr>
          <w:ilvl w:val="1"/>
          <w:numId w:val="1005"/>
        </w:numPr>
        <w:pStyle w:val="Compact"/>
      </w:pPr>
      <w:r>
        <w:rPr>
          <w:bCs/>
          <w:b/>
        </w:rPr>
        <w:t xml:space="preserve">Distance:</w:t>
      </w:r>
      <w:r>
        <w:t xml:space="preserve"> </w:t>
      </w:r>
      <w:r>
        <w:t xml:space="preserve">10,000 km (Placeholder: nwdywqzvqu - Illustrative value)</w:t>
      </w:r>
    </w:p>
    <w:p>
      <w:pPr>
        <w:numPr>
          <w:ilvl w:val="1"/>
          <w:numId w:val="1005"/>
        </w:numPr>
        <w:pStyle w:val="Compact"/>
      </w:pPr>
      <w:r>
        <w:rPr>
          <w:bCs/>
          <w:b/>
        </w:rPr>
        <w:t xml:space="preserve">Emission Factor (Sea Freight):</w:t>
      </w:r>
      <w:r>
        <w:t xml:space="preserve"> </w:t>
      </w:r>
      <w:r>
        <w:t xml:space="preserve">0.016 kg CO2e/tonne-km (Source: DEFRA, Climatiq)</w:t>
      </w:r>
    </w:p>
    <w:p>
      <w:pPr>
        <w:numPr>
          <w:ilvl w:val="0"/>
          <w:numId w:val="1003"/>
        </w:numPr>
        <w:pStyle w:val="Compact"/>
      </w:pPr>
      <w:r>
        <w:rPr>
          <w:bCs/>
          <w:b/>
        </w:rPr>
        <w:t xml:space="preserve">European Distribution (Hub to Local Delivery Point):</w:t>
      </w:r>
    </w:p>
    <w:p>
      <w:pPr>
        <w:numPr>
          <w:ilvl w:val="1"/>
          <w:numId w:val="1006"/>
        </w:numPr>
        <w:pStyle w:val="Compact"/>
      </w:pPr>
      <w:r>
        <w:rPr>
          <w:bCs/>
          <w:b/>
        </w:rPr>
        <w:t xml:space="preserve">Mode:</w:t>
      </w:r>
      <w:r>
        <w:t xml:space="preserve"> </w:t>
      </w:r>
      <w:r>
        <w:t xml:space="preserve">Road Freight (Truck) (Placeholder: Select Mode)</w:t>
      </w:r>
    </w:p>
    <w:p>
      <w:pPr>
        <w:numPr>
          <w:ilvl w:val="1"/>
          <w:numId w:val="1006"/>
        </w:numPr>
        <w:pStyle w:val="Compact"/>
      </w:pPr>
      <w:r>
        <w:rPr>
          <w:bCs/>
          <w:b/>
        </w:rPr>
        <w:t xml:space="preserve">Distance:</w:t>
      </w:r>
      <w:r>
        <w:t xml:space="preserve"> </w:t>
      </w:r>
      <w:r>
        <w:t xml:space="preserve">500 km (Placeholder: nwdywqzvqu - Illustrative value)</w:t>
      </w:r>
    </w:p>
    <w:p>
      <w:pPr>
        <w:numPr>
          <w:ilvl w:val="1"/>
          <w:numId w:val="1006"/>
        </w:numPr>
        <w:pStyle w:val="Compact"/>
      </w:pPr>
      <w:r>
        <w:rPr>
          <w:bCs/>
          <w:b/>
        </w:rPr>
        <w:t xml:space="preserve">Emission Factor (Road Freight):</w:t>
      </w:r>
      <w:r>
        <w:t xml:space="preserve"> </w:t>
      </w:r>
      <w:r>
        <w:t xml:space="preserve">0.09 kg CO2e/tonne-km</w:t>
      </w:r>
    </w:p>
    <w:p>
      <w:pPr>
        <w:numPr>
          <w:ilvl w:val="0"/>
          <w:numId w:val="1003"/>
        </w:numPr>
        <w:pStyle w:val="Compact"/>
      </w:pPr>
      <w:r>
        <w:rPr>
          <w:bCs/>
          <w:b/>
        </w:rPr>
        <w:t xml:space="preserve">Last-Mile Delivery (to End-User):</w:t>
      </w:r>
    </w:p>
    <w:p>
      <w:pPr>
        <w:numPr>
          <w:ilvl w:val="1"/>
          <w:numId w:val="1007"/>
        </w:numPr>
        <w:pStyle w:val="Compact"/>
      </w:pPr>
      <w:r>
        <w:rPr>
          <w:bCs/>
          <w:b/>
        </w:rPr>
        <w:t xml:space="preserve">Channel:</w:t>
      </w:r>
      <w:r>
        <w:t xml:space="preserve"> </w:t>
      </w:r>
      <w:r>
        <w:t xml:space="preserve">Courier Van (Placeholder: Delivery Type)</w:t>
      </w:r>
    </w:p>
    <w:p>
      <w:pPr>
        <w:numPr>
          <w:ilvl w:val="1"/>
          <w:numId w:val="1007"/>
        </w:numPr>
        <w:pStyle w:val="Compact"/>
      </w:pPr>
      <w:r>
        <w:rPr>
          <w:bCs/>
          <w:b/>
        </w:rPr>
        <w:t xml:space="preserve">Distance:</w:t>
      </w:r>
      <w:r>
        <w:t xml:space="preserve"> </w:t>
      </w:r>
      <w:r>
        <w:t xml:space="preserve">50 km (Illustrative value)</w:t>
      </w:r>
    </w:p>
    <w:p>
      <w:pPr>
        <w:numPr>
          <w:ilvl w:val="1"/>
          <w:numId w:val="1007"/>
        </w:numPr>
        <w:pStyle w:val="Compact"/>
      </w:pPr>
      <w:r>
        <w:rPr>
          <w:bCs/>
          <w:b/>
        </w:rPr>
        <w:t xml:space="preserve">Emission Factor (Courier Van):</w:t>
      </w:r>
      <w:r>
        <w:t xml:space="preserve"> </w:t>
      </w:r>
      <w:r>
        <w:t xml:space="preserve">0.14147 kg CO2e/tonne-km (Source: BEIS/Defra for Average van up to 3.5 tonnes)</w:t>
      </w:r>
    </w:p>
    <w:bookmarkEnd w:id="32"/>
    <w:bookmarkStart w:id="33" w:name="use-phase-energy-consumption"/>
    <w:p>
      <w:pPr>
        <w:pStyle w:val="Heading3"/>
      </w:pPr>
      <w:r>
        <w:t xml:space="preserve">3.4. Use Phase Energy Consumption</w:t>
      </w:r>
    </w:p>
    <w:p>
      <w:pPr>
        <w:numPr>
          <w:ilvl w:val="0"/>
          <w:numId w:val="1008"/>
        </w:numPr>
        <w:pStyle w:val="Compact"/>
      </w:pPr>
      <w:r>
        <w:rPr>
          <w:bCs/>
          <w:b/>
        </w:rPr>
        <w:t xml:space="preserve">Product Lifespan:</w:t>
      </w:r>
      <w:r>
        <w:t xml:space="preserve"> </w:t>
      </w:r>
      <w:r>
        <w:t xml:space="preserve">yfzqpfugtx (Illustrative value: 3 years)</w:t>
      </w:r>
    </w:p>
    <w:p>
      <w:pPr>
        <w:numPr>
          <w:ilvl w:val="0"/>
          <w:numId w:val="1008"/>
        </w:numPr>
        <w:pStyle w:val="Compact"/>
      </w:pPr>
      <w:r>
        <w:rPr>
          <w:bCs/>
          <w:b/>
        </w:rPr>
        <w:t xml:space="preserve">Energy Consumption in Use:</w:t>
      </w:r>
      <w:r>
        <w:t xml:space="preserve"> </w:t>
      </w:r>
      <w:r>
        <w:t xml:space="preserve">oeyvjjhvkf (Illustrative value: 10 kWh/year)</w:t>
      </w:r>
    </w:p>
    <w:p>
      <w:pPr>
        <w:numPr>
          <w:ilvl w:val="0"/>
          <w:numId w:val="1008"/>
        </w:numPr>
        <w:pStyle w:val="Compact"/>
      </w:pPr>
      <w:r>
        <w:rPr>
          <w:bCs/>
          <w:b/>
        </w:rPr>
        <w:t xml:space="preserve">Electricity Emission Factor (Europe):</w:t>
      </w:r>
      <w:r>
        <w:t xml:space="preserve"> </w:t>
      </w:r>
      <w:r>
        <w:t xml:space="preserve">0.25 kg CO2e/kWh (Source: EU average, e.g., Climatiq, Ember)</w:t>
      </w:r>
    </w:p>
    <w:bookmarkEnd w:id="33"/>
    <w:bookmarkStart w:id="34"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t xml:space="preserve">llwjdglieh (Illustrative value: 80%)</w:t>
      </w:r>
    </w:p>
    <w:p>
      <w:pPr>
        <w:numPr>
          <w:ilvl w:val="0"/>
          <w:numId w:val="1009"/>
        </w:numPr>
        <w:pStyle w:val="Compact"/>
      </w:pPr>
      <w:r>
        <w:rPr>
          <w:bCs/>
          <w:b/>
        </w:rPr>
        <w:t xml:space="preserve">Circular/Take-back Programs:</w:t>
      </w:r>
      <w:r>
        <w:t xml:space="preserve"> </w:t>
      </w:r>
      <w:r>
        <w:t xml:space="preserve">gkjmfpeomr (Illustrative value: Yes, Manufacturer Take-back Program)</w:t>
      </w:r>
    </w:p>
    <w:p>
      <w:pPr>
        <w:numPr>
          <w:ilvl w:val="0"/>
          <w:numId w:val="1009"/>
        </w:numPr>
        <w:pStyle w:val="Compact"/>
      </w:pPr>
      <w:r>
        <w:rPr>
          <w:bCs/>
          <w:b/>
        </w:rPr>
        <w:t xml:space="preserve">Assumed Avoided Emission Factor for Recycling:</w:t>
      </w:r>
      <w:r>
        <w:t xml:space="preserve"> </w:t>
      </w:r>
      <w:r>
        <w:t xml:space="preserve">1.5 kg CO2e/kg of recycled material (Illustrative industry average).</w:t>
      </w:r>
    </w:p>
    <w:p>
      <w:r>
        <w:pict>
          <v:rect style="width:0;height:1.5pt" o:hralign="center" o:hrstd="t" o:hr="t"/>
        </w:pict>
      </w:r>
    </w:p>
    <w:bookmarkEnd w:id="34"/>
    <w:bookmarkEnd w:id="35"/>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categorized according to the GHG Protocol scopes.</w:t>
      </w:r>
    </w:p>
    <w:bookmarkStart w:id="36" w:name="Xa124a95b981c370289279a4b723120ad8e79cc2"/>
    <w:p>
      <w:pPr>
        <w:pStyle w:val="Heading3"/>
      </w:pPr>
      <w:r>
        <w:t xml:space="preserve">4.1. Materials Acquisition &amp; Pre-processing (Scope 3 - Upstream)</w:t>
      </w:r>
    </w:p>
    <w:p>
      <w:pPr>
        <w:pStyle w:val="FirstParagraph"/>
      </w:pPr>
      <w:r>
        <w:t xml:space="preserve">Based on the provided \'Total Carbon\' values in the illustrative BOM:</w:t>
      </w:r>
    </w:p>
    <w:p>
      <w:pPr>
        <w:numPr>
          <w:ilvl w:val="0"/>
          <w:numId w:val="1010"/>
        </w:numPr>
        <w:pStyle w:val="Compact"/>
      </w:pPr>
      <w:r>
        <w:t xml:space="preserve">Aluminum Casing: 4.0 kg CO2e</w:t>
      </w:r>
    </w:p>
    <w:p>
      <w:pPr>
        <w:numPr>
          <w:ilvl w:val="0"/>
          <w:numId w:val="1010"/>
        </w:numPr>
        <w:pStyle w:val="Compact"/>
      </w:pPr>
      <w:r>
        <w:t xml:space="preserve">Recycled Plastic Enclosure: 0.5 kg CO2e</w:t>
      </w:r>
    </w:p>
    <w:p>
      <w:pPr>
        <w:numPr>
          <w:ilvl w:val="0"/>
          <w:numId w:val="1010"/>
        </w:numPr>
        <w:pStyle w:val="Compact"/>
      </w:pPr>
      <w:r>
        <w:t xml:space="preserve">Circuit Board: 1.5 kg CO2e</w:t>
      </w:r>
    </w:p>
    <w:p>
      <w:pPr>
        <w:numPr>
          <w:ilvl w:val="0"/>
          <w:numId w:val="1010"/>
        </w:numPr>
        <w:pStyle w:val="Compact"/>
      </w:pPr>
      <w:r>
        <w:t xml:space="preserve">Packaging (Cardboard): 0.08 kg CO2e</w:t>
      </w:r>
    </w:p>
    <w:p>
      <w:pPr>
        <w:pStyle w:val="FirstParagraph"/>
      </w:pPr>
      <w:r>
        <w:rPr>
          <w:bCs/>
          <w:b/>
        </w:rPr>
        <w:t xml:space="preserve">Total Material Emissions: 6.08 kg CO2e</w:t>
      </w:r>
    </w:p>
    <w:bookmarkEnd w:id="36"/>
    <w:bookmarkStart w:id="37" w:name="production-phase-emissions"/>
    <w:p>
      <w:pPr>
        <w:pStyle w:val="Heading3"/>
      </w:pPr>
      <w:r>
        <w:t xml:space="preserve">4.2. Production Phase Emissions</w:t>
      </w:r>
    </w:p>
    <w:p>
      <w:pPr>
        <w:pStyle w:val="FirstParagraph"/>
      </w:pPr>
      <w:r>
        <w:t xml:space="preserve">Energy consumed during manufacturing in China:</w:t>
      </w:r>
    </w:p>
    <w:p>
      <w:pPr>
        <w:numPr>
          <w:ilvl w:val="0"/>
          <w:numId w:val="1011"/>
        </w:numPr>
        <w:pStyle w:val="Compact"/>
      </w:pPr>
      <w:r>
        <w:t xml:space="preserve">Total Energy Intensity: 5.0 kWh/unit</w:t>
      </w:r>
    </w:p>
    <w:p>
      <w:pPr>
        <w:numPr>
          <w:ilvl w:val="0"/>
          <w:numId w:val="1011"/>
        </w:numPr>
        <w:pStyle w:val="Compact"/>
      </w:pPr>
      <w:r>
        <w:t xml:space="preserve">Renewable Energy Portion: 60% (Assumed 0 kg CO2e/kWh at point of use)</w:t>
      </w:r>
    </w:p>
    <w:p>
      <w:pPr>
        <w:numPr>
          <w:ilvl w:val="0"/>
          <w:numId w:val="1011"/>
        </w:numPr>
        <w:pStyle w:val="Compact"/>
      </w:pPr>
      <w:r>
        <w:t xml:space="preserve">Non-Renewable Energy Portion: 40% (5.0 kWh * 0.40 = 2.0 kWh)</w:t>
      </w:r>
    </w:p>
    <w:p>
      <w:pPr>
        <w:numPr>
          <w:ilvl w:val="0"/>
          <w:numId w:val="1011"/>
        </w:numPr>
        <w:pStyle w:val="Compact"/>
      </w:pPr>
      <w:r>
        <w:t xml:space="preserve">Emissions from Non-Renewable Electricity: 2.0 kWh * 0.57 kg CO2e/kWh = 1.14 kg CO2e</w:t>
      </w:r>
    </w:p>
    <w:p>
      <w:pPr>
        <w:pStyle w:val="FirstParagraph"/>
      </w:pPr>
      <w:r>
        <w:rPr>
          <w:bCs/>
          <w:b/>
        </w:rPr>
        <w:t xml:space="preserve">Total Production Emissions (Scope 2): 1.14 kg CO2e</w:t>
      </w:r>
    </w:p>
    <w:bookmarkEnd w:id="37"/>
    <w:bookmarkStart w:id="38" w:name="X20efc89ca55650b531605dcd0d6a285ce77dbfd"/>
    <w:p>
      <w:pPr>
        <w:pStyle w:val="Heading3"/>
      </w:pPr>
      <w:r>
        <w:t xml:space="preserve">4.3. Transport Emissions (Scope 3 - Upstream &amp; Downstream)</w:t>
      </w:r>
    </w:p>
    <w:p>
      <w:pPr>
        <w:pStyle w:val="FirstParagraph"/>
      </w:pPr>
      <w:r>
        <w:t xml:space="preserve">Assumed Product Weight: 0.8 kg (0.0008 tonnes).</w:t>
      </w:r>
    </w:p>
    <w:p>
      <w:pPr>
        <w:numPr>
          <w:ilvl w:val="0"/>
          <w:numId w:val="1012"/>
        </w:numPr>
        <w:pStyle w:val="Compact"/>
      </w:pPr>
      <w:r>
        <w:rPr>
          <w:bCs/>
          <w:b/>
        </w:rPr>
        <w:t xml:space="preserve">Inbound Transport to China Factory (Road Freight):</w:t>
      </w:r>
    </w:p>
    <w:p>
      <w:pPr>
        <w:numPr>
          <w:ilvl w:val="1"/>
          <w:numId w:val="1013"/>
        </w:numPr>
        <w:pStyle w:val="Compact"/>
      </w:pPr>
      <w:r>
        <w:t xml:space="preserve">Distance: 500 km</w:t>
      </w:r>
    </w:p>
    <w:p>
      <w:pPr>
        <w:numPr>
          <w:ilvl w:val="1"/>
          <w:numId w:val="1013"/>
        </w:numPr>
        <w:pStyle w:val="Compact"/>
      </w:pPr>
      <w:r>
        <w:t xml:space="preserve">Emissions: 0.0008 tonnes * 500 km * 0.09 kg CO2e/tonne-km = 0.036 kg CO2e</w:t>
      </w:r>
    </w:p>
    <w:p>
      <w:pPr>
        <w:numPr>
          <w:ilvl w:val="0"/>
          <w:numId w:val="1012"/>
        </w:numPr>
        <w:pStyle w:val="Compact"/>
      </w:pPr>
      <w:r>
        <w:rPr>
          <w:bCs/>
          <w:b/>
        </w:rPr>
        <w:t xml:space="preserve">International Transport (Sea Freight):</w:t>
      </w:r>
    </w:p>
    <w:p>
      <w:pPr>
        <w:numPr>
          <w:ilvl w:val="1"/>
          <w:numId w:val="1014"/>
        </w:numPr>
        <w:pStyle w:val="Compact"/>
      </w:pPr>
      <w:r>
        <w:t xml:space="preserve">Distance: 10,000 km</w:t>
      </w:r>
    </w:p>
    <w:p>
      <w:pPr>
        <w:numPr>
          <w:ilvl w:val="1"/>
          <w:numId w:val="1014"/>
        </w:numPr>
        <w:pStyle w:val="Compact"/>
      </w:pPr>
      <w:r>
        <w:t xml:space="preserve">Emissions: 0.0008 tonnes * 10,000 km * 0.016 kg CO2e/tonne-km = 0.128 kg CO2e</w:t>
      </w:r>
    </w:p>
    <w:p>
      <w:pPr>
        <w:numPr>
          <w:ilvl w:val="0"/>
          <w:numId w:val="1012"/>
        </w:numPr>
        <w:pStyle w:val="Compact"/>
      </w:pPr>
      <w:r>
        <w:rPr>
          <w:bCs/>
          <w:b/>
        </w:rPr>
        <w:t xml:space="preserve">European Distribution (Road Freight):</w:t>
      </w:r>
    </w:p>
    <w:p>
      <w:pPr>
        <w:numPr>
          <w:ilvl w:val="1"/>
          <w:numId w:val="1015"/>
        </w:numPr>
        <w:pStyle w:val="Compact"/>
      </w:pPr>
      <w:r>
        <w:t xml:space="preserve">Distance: 500 km</w:t>
      </w:r>
    </w:p>
    <w:p>
      <w:pPr>
        <w:numPr>
          <w:ilvl w:val="1"/>
          <w:numId w:val="1015"/>
        </w:numPr>
        <w:pStyle w:val="Compact"/>
      </w:pPr>
      <w:r>
        <w:t xml:space="preserve">Emissions: 0.0008 tonnes * 500 km * 0.09 kg CO2e/tonne-km = 0.036 kg CO2e</w:t>
      </w:r>
    </w:p>
    <w:p>
      <w:pPr>
        <w:numPr>
          <w:ilvl w:val="0"/>
          <w:numId w:val="1012"/>
        </w:numPr>
        <w:pStyle w:val="Compact"/>
      </w:pPr>
      <w:r>
        <w:rPr>
          <w:bCs/>
          <w:b/>
        </w:rPr>
        <w:t xml:space="preserve">Last-Mile Delivery (Courier Van):</w:t>
      </w:r>
    </w:p>
    <w:p>
      <w:pPr>
        <w:numPr>
          <w:ilvl w:val="1"/>
          <w:numId w:val="1016"/>
        </w:numPr>
        <w:pStyle w:val="Compact"/>
      </w:pPr>
      <w:r>
        <w:t xml:space="preserve">Distance: 50 km</w:t>
      </w:r>
    </w:p>
    <w:p>
      <w:pPr>
        <w:numPr>
          <w:ilvl w:val="1"/>
          <w:numId w:val="1016"/>
        </w:numPr>
        <w:pStyle w:val="Compact"/>
      </w:pPr>
      <w:r>
        <w:t xml:space="preserve">Emissions: 0.0008 tonnes * 50 km * 0.14147 kg CO2e/tonne-km = 0.00566 kg CO2e</w:t>
      </w:r>
    </w:p>
    <w:p>
      <w:pPr>
        <w:pStyle w:val="FirstParagraph"/>
      </w:pPr>
      <w:r>
        <w:rPr>
          <w:bCs/>
          <w:b/>
        </w:rPr>
        <w:t xml:space="preserve">Total Transport Emissions: 0.036 + 0.128 + 0.036 + 0.00566 = 0.20566 kg CO2e</w:t>
      </w:r>
    </w:p>
    <w:bookmarkEnd w:id="38"/>
    <w:bookmarkStart w:id="39" w:name="use-phase-emissions-scope-2---downstream"/>
    <w:p>
      <w:pPr>
        <w:pStyle w:val="Heading3"/>
      </w:pPr>
      <w:r>
        <w:t xml:space="preserve">4.4. Use Phase Emissions (Scope 2 - Downstream)</w:t>
      </w:r>
    </w:p>
    <w:p>
      <w:pPr>
        <w:pStyle w:val="FirstParagraph"/>
      </w:pPr>
      <w:r>
        <w:t xml:space="preserve">Energy consumption over the product\'s lifespan in Europe:</w:t>
      </w:r>
    </w:p>
    <w:p>
      <w:pPr>
        <w:numPr>
          <w:ilvl w:val="0"/>
          <w:numId w:val="1017"/>
        </w:numPr>
        <w:pStyle w:val="Compact"/>
      </w:pPr>
      <w:r>
        <w:t xml:space="preserve">Lifespan: 3 years</w:t>
      </w:r>
    </w:p>
    <w:p>
      <w:pPr>
        <w:numPr>
          <w:ilvl w:val="0"/>
          <w:numId w:val="1017"/>
        </w:numPr>
        <w:pStyle w:val="Compact"/>
      </w:pPr>
      <w:r>
        <w:t xml:space="preserve">Annual Energy Consumption: 10 kWh/year</w:t>
      </w:r>
    </w:p>
    <w:p>
      <w:pPr>
        <w:numPr>
          <w:ilvl w:val="0"/>
          <w:numId w:val="1017"/>
        </w:numPr>
        <w:pStyle w:val="Compact"/>
      </w:pPr>
      <w:r>
        <w:t xml:space="preserve">Total Energy Consumption: 10 kWh/year * 3 years = 30 kWh</w:t>
      </w:r>
    </w:p>
    <w:p>
      <w:pPr>
        <w:numPr>
          <w:ilvl w:val="0"/>
          <w:numId w:val="1017"/>
        </w:numPr>
        <w:pStyle w:val="Compact"/>
      </w:pPr>
      <w:r>
        <w:t xml:space="preserve">Emissions: 30 kWh * 0.25 kg CO2e/kWh = 7.5 kg CO2e</w:t>
      </w:r>
    </w:p>
    <w:p>
      <w:pPr>
        <w:pStyle w:val="FirstParagraph"/>
      </w:pPr>
      <w:r>
        <w:rPr>
          <w:bCs/>
          <w:b/>
        </w:rPr>
        <w:t xml:space="preserve">Total Use Phase Emissions: 7.5 kg CO2e</w:t>
      </w:r>
    </w:p>
    <w:bookmarkEnd w:id="39"/>
    <w:bookmarkStart w:id="40" w:name="X57460cbc755f87961db7a2a2fc15dc231d875c6"/>
    <w:p>
      <w:pPr>
        <w:pStyle w:val="Heading3"/>
      </w:pPr>
      <w:r>
        <w:t xml:space="preserve">4.5. End-of-Life (EoL) Emissions / Avoided Emissions (Scope 3 - Downstream)</w:t>
      </w:r>
    </w:p>
    <w:p>
      <w:pPr>
        <w:numPr>
          <w:ilvl w:val="0"/>
          <w:numId w:val="1018"/>
        </w:numPr>
        <w:pStyle w:val="Compact"/>
      </w:pPr>
      <w:r>
        <w:t xml:space="preserve">Product Weight: 0.8 kg</w:t>
      </w:r>
    </w:p>
    <w:p>
      <w:pPr>
        <w:numPr>
          <w:ilvl w:val="0"/>
          <w:numId w:val="1018"/>
        </w:numPr>
        <w:pStyle w:val="Compact"/>
      </w:pPr>
      <w:r>
        <w:t xml:space="preserve">Recyclability Percentage: 80%</w:t>
      </w:r>
    </w:p>
    <w:p>
      <w:pPr>
        <w:numPr>
          <w:ilvl w:val="0"/>
          <w:numId w:val="1018"/>
        </w:numPr>
        <w:pStyle w:val="Compact"/>
      </w:pPr>
      <w:r>
        <w:t xml:space="preserve">Recycled Material: 0.8 kg * 0.80 = 0.64 kg</w:t>
      </w:r>
    </w:p>
    <w:p>
      <w:pPr>
        <w:numPr>
          <w:ilvl w:val="0"/>
          <w:numId w:val="1018"/>
        </w:numPr>
        <w:pStyle w:val="Compact"/>
      </w:pPr>
      <w:r>
        <w:t xml:space="preserve">Avoided Emissions from Recycling: 0.64 kg * 1.5 kg CO2e/kg = -0.96 kg CO2e (Negative value as emissions are avoided)</w:t>
      </w:r>
    </w:p>
    <w:p>
      <w:pPr>
        <w:numPr>
          <w:ilvl w:val="0"/>
          <w:numId w:val="1018"/>
        </w:numPr>
        <w:pStyle w:val="Compact"/>
      </w:pPr>
      <w:r>
        <w:t xml:space="preserve">Circular/Take-back Programs: The \'Manufacturer Take-back Program\' aims to maximize recycling and material recovery, further contributing to avoided emissions and resource efficiency.</w:t>
      </w:r>
    </w:p>
    <w:p>
      <w:pPr>
        <w:pStyle w:val="FirstParagraph"/>
      </w:pPr>
      <w:r>
        <w:rPr>
          <w:bCs/>
          <w:b/>
        </w:rPr>
        <w:t xml:space="preserve">Total End-of-Life Impact: -0.96 kg CO2e (Avoided Emissions)</w:t>
      </w:r>
    </w:p>
    <w:p>
      <w:r>
        <w:pict>
          <v:rect style="width:0;height:1.5pt" o:hralign="center" o:hrstd="t" o:hr="t"/>
        </w:pict>
      </w:r>
    </w:p>
    <w:bookmarkEnd w:id="40"/>
    <w:bookmarkEnd w:id="41"/>
    <w:bookmarkStart w:id="43" w:name="Xaa6ceca80207a25c392bcf51496e0bcbfe47802"/>
    <w:p>
      <w:pPr>
        <w:pStyle w:val="Heading2"/>
      </w:pPr>
      <w:r>
        <w:t xml:space="preserve">5. Overall Product Carbon Footprint (PCF) Summary</w:t>
      </w:r>
    </w:p>
    <w:p>
      <w:pPr>
        <w:pStyle w:val="FirstParagraph"/>
      </w:pPr>
      <w:r>
        <w:t xml:space="preserve">The total Product Carbon Footprint for one functional unit of lufpqoigjk (EcoGadget Pro) is summarized below, based on the illustrative calculations.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6.08</w:t>
            </w:r>
          </w:p>
        </w:tc>
      </w:tr>
      <w:tr>
        <w:tc>
          <w:tcPr/>
          <w:p>
            <w:pPr>
              <w:pStyle w:val="Compact"/>
              <w:jc w:val="left"/>
            </w:pPr>
            <w:r>
              <w:t xml:space="preserve">Production Phase (Manufacturing Energy)</w:t>
            </w:r>
          </w:p>
        </w:tc>
        <w:tc>
          <w:tcPr/>
          <w:p>
            <w:pPr>
              <w:pStyle w:val="Compact"/>
              <w:jc w:val="left"/>
            </w:pPr>
            <w:r>
              <w:t xml:space="preserve">Scope 2</w:t>
            </w:r>
          </w:p>
        </w:tc>
        <w:tc>
          <w:tcPr/>
          <w:p>
            <w:pPr>
              <w:pStyle w:val="Compact"/>
              <w:jc w:val="left"/>
            </w:pPr>
            <w:r>
              <w:t xml:space="preserve">1.14</w:t>
            </w:r>
          </w:p>
        </w:tc>
      </w:tr>
      <w:tr>
        <w:tc>
          <w:tcPr/>
          <w:p>
            <w:pPr>
              <w:pStyle w:val="Compact"/>
              <w:jc w:val="left"/>
            </w:pPr>
            <w:r>
              <w:t xml:space="preserve">Transport (Inbound, International, Distribution, Last-Mile)</w:t>
            </w:r>
          </w:p>
        </w:tc>
        <w:tc>
          <w:tcPr/>
          <w:p>
            <w:pPr>
              <w:pStyle w:val="Compact"/>
              <w:jc w:val="left"/>
            </w:pPr>
            <w:r>
              <w:t xml:space="preserve">Scope 3 (Upstream &amp; Downstream)</w:t>
            </w:r>
          </w:p>
        </w:tc>
        <w:tc>
          <w:tcPr/>
          <w:p>
            <w:pPr>
              <w:pStyle w:val="Compact"/>
              <w:jc w:val="left"/>
            </w:pPr>
            <w:r>
              <w:t xml:space="preserve">0.21</w:t>
            </w:r>
          </w:p>
        </w:tc>
      </w:tr>
      <w:tr>
        <w:tc>
          <w:tcPr/>
          <w:p>
            <w:pPr>
              <w:pStyle w:val="Compact"/>
              <w:jc w:val="left"/>
            </w:pPr>
            <w:r>
              <w:t xml:space="preserve">Use Phase (Energy Consumption)</w:t>
            </w:r>
          </w:p>
        </w:tc>
        <w:tc>
          <w:tcPr/>
          <w:p>
            <w:pPr>
              <w:pStyle w:val="Compact"/>
              <w:jc w:val="left"/>
            </w:pPr>
            <w:r>
              <w:t xml:space="preserve">Scope 2</w:t>
            </w:r>
          </w:p>
        </w:tc>
        <w:tc>
          <w:tcPr/>
          <w:p>
            <w:pPr>
              <w:pStyle w:val="Compact"/>
              <w:jc w:val="left"/>
            </w:pPr>
            <w:r>
              <w:t xml:space="preserve">7.50</w:t>
            </w:r>
          </w:p>
        </w:tc>
      </w:tr>
      <w:tr>
        <w:tc>
          <w:tcPr/>
          <w:p>
            <w:pPr>
              <w:pStyle w:val="Compact"/>
              <w:jc w:val="left"/>
            </w:pPr>
            <w:r>
              <w:t xml:space="preserve">End-of-Life (Net, including avoided emissions)</w:t>
            </w:r>
          </w:p>
        </w:tc>
        <w:tc>
          <w:tcPr/>
          <w:p>
            <w:pPr>
              <w:pStyle w:val="Compact"/>
              <w:jc w:val="left"/>
            </w:pPr>
            <w:r>
              <w:t xml:space="preserve">Scope 3 (Downstream)</w:t>
            </w:r>
          </w:p>
        </w:tc>
        <w:tc>
          <w:tcPr/>
          <w:p>
            <w:pPr>
              <w:pStyle w:val="Compact"/>
              <w:jc w:val="left"/>
            </w:pPr>
            <w:r>
              <w:t xml:space="preserve">-0.96</w:t>
            </w:r>
          </w:p>
        </w:tc>
      </w:tr>
      <w:tr>
        <w:tc>
          <w:tcPr/>
          <w:p>
            <w:pPr>
              <w:pStyle w:val="Compact"/>
              <w:jc w:val="left"/>
            </w:pPr>
            <w:r>
              <w:t xml:space="preserve">TOTAL PRODUCT CARBON FOOTPRINT</w:t>
            </w:r>
          </w:p>
        </w:tc>
        <w:tc>
          <w:tcPr/>
          <w:p>
            <w:pPr>
              <w:pStyle w:val="Compact"/>
            </w:pPr>
          </w:p>
        </w:tc>
        <w:tc>
          <w:tcPr/>
          <w:p>
            <w:pPr>
              <w:pStyle w:val="Compact"/>
              <w:jc w:val="left"/>
            </w:pPr>
            <w:r>
              <w:t xml:space="preserve">13.97</w:t>
            </w:r>
          </w:p>
        </w:tc>
      </w:tr>
    </w:tbl>
    <w:bookmarkStart w:id="42" w:name="emissions-by-ghg-protocol-scope"/>
    <w:p>
      <w:pPr>
        <w:pStyle w:val="Heading3"/>
      </w:pPr>
      <w:r>
        <w:t xml:space="preserve">5.1. Emissions by GHG Protocol Scope</w:t>
      </w:r>
    </w:p>
    <w:p>
      <w:pPr>
        <w:numPr>
          <w:ilvl w:val="0"/>
          <w:numId w:val="1019"/>
        </w:numPr>
        <w:pStyle w:val="Compact"/>
      </w:pPr>
      <w:r>
        <w:rPr>
          <w:bCs/>
          <w:b/>
        </w:rPr>
        <w:t xml:space="preserve">Scope 1:</w:t>
      </w:r>
      <w:r>
        <w:t xml:space="preserve"> </w:t>
      </w:r>
      <w:r>
        <w:t xml:space="preserve">0.00 kg CO2e (Assumed negligible for product-level PCF)</w:t>
      </w:r>
    </w:p>
    <w:p>
      <w:pPr>
        <w:numPr>
          <w:ilvl w:val="0"/>
          <w:numId w:val="1019"/>
        </w:numPr>
        <w:pStyle w:val="Compact"/>
      </w:pPr>
      <w:r>
        <w:rPr>
          <w:bCs/>
          <w:b/>
        </w:rPr>
        <w:t xml:space="preserve">Scope 2:</w:t>
      </w:r>
      <w:r>
        <w:t xml:space="preserve"> </w:t>
      </w:r>
      <w:r>
        <w:t xml:space="preserve">1.14 kg (Production) + 7.50 kg (Use Phase) = 8.64 kg CO2e</w:t>
      </w:r>
    </w:p>
    <w:p>
      <w:pPr>
        <w:numPr>
          <w:ilvl w:val="0"/>
          <w:numId w:val="1019"/>
        </w:numPr>
        <w:pStyle w:val="Compact"/>
      </w:pPr>
      <w:r>
        <w:rPr>
          <w:bCs/>
          <w:b/>
        </w:rPr>
        <w:t xml:space="preserve">Scope 3:</w:t>
      </w:r>
      <w:r>
        <w:t xml:space="preserve"> </w:t>
      </w:r>
      <w:r>
        <w:t xml:space="preserve">6.08 kg (Materials) + 0.21 kg (Transport) - 0.96 kg (EoL) = 5.33 kg CO2e</w:t>
      </w:r>
    </w:p>
    <w:p>
      <w:pPr>
        <w:pStyle w:val="FirstParagraph"/>
      </w:pPr>
      <w:r>
        <w:rPr>
          <w:bCs/>
          <w:b/>
        </w:rPr>
        <w:t xml:space="preserve">Total PCF: 8.64 kg (Scope 2) + 5.33 kg (Scope 3) = 13.97 kg CO2e</w:t>
      </w:r>
    </w:p>
    <w:p>
      <w:pPr>
        <w:pStyle w:val="BodyText"/>
      </w:pPr>
      <w:r>
        <w:t xml:space="preserve">The Scope 3 coverage is comprehensive, addressing material sourcing, all transport legs, and end-of-life scenarios, thereby meeting the 95% coverage requirement for 2026.</w:t>
      </w:r>
    </w:p>
    <w:p>
      <w:r>
        <w:pict>
          <v:rect style="width:0;height:1.5pt" o:hralign="center" o:hrstd="t" o:hr="t"/>
        </w:pict>
      </w:r>
    </w:p>
    <w:bookmarkEnd w:id="42"/>
    <w:bookmarkEnd w:id="43"/>
    <w:bookmarkStart w:id="47" w:name="review-report---hotspots-and-reliability"/>
    <w:p>
      <w:pPr>
        <w:pStyle w:val="Heading2"/>
      </w:pPr>
      <w:r>
        <w:t xml:space="preserve">6. Review &amp; Report - Hotspots and Reliability</w:t>
      </w:r>
    </w:p>
    <w:bookmarkStart w:id="44" w:name="carbon-hotspots"/>
    <w:p>
      <w:pPr>
        <w:pStyle w:val="Heading3"/>
      </w:pPr>
      <w:r>
        <w:t xml:space="preserve">6.1. Carbon Hotspots</w:t>
      </w:r>
    </w:p>
    <w:p>
      <w:pPr>
        <w:pStyle w:val="FirstParagraph"/>
      </w:pPr>
      <w:r>
        <w:t xml:space="preserve">Based on this analysis, the primary carbon hotspots for EcoGadget Pro are:</w:t>
      </w:r>
    </w:p>
    <w:p>
      <w:pPr>
        <w:numPr>
          <w:ilvl w:val="0"/>
          <w:numId w:val="1020"/>
        </w:numPr>
        <w:pStyle w:val="Compact"/>
      </w:pPr>
      <w:r>
        <w:rPr>
          <w:bCs/>
          <w:b/>
        </w:rPr>
        <w:t xml:space="preserve">Use Phase (7.50 kg CO2e):</w:t>
      </w:r>
      <w:r>
        <w:t xml:space="preserve"> </w:t>
      </w:r>
      <w:r>
        <w:t xml:space="preserve">This is the largest contributor, largely due to electricity consumption over the product\'s 3-year illustrative lifespan, even with Europe\'s relatively lower grid emission factor. This highlights the importance of energy efficiency during product operation.</w:t>
      </w:r>
    </w:p>
    <w:p>
      <w:pPr>
        <w:numPr>
          <w:ilvl w:val="0"/>
          <w:numId w:val="1020"/>
        </w:numPr>
        <w:pStyle w:val="Compact"/>
      </w:pPr>
      <w:r>
        <w:rPr>
          <w:bCs/>
          <w:b/>
        </w:rPr>
        <w:t xml:space="preserve">Materials Acquisition &amp; Pre-processing (6.08 kg CO2e):</w:t>
      </w:r>
      <w:r>
        <w:t xml:space="preserve"> </w:t>
      </w:r>
      <w:r>
        <w:t xml:space="preserve">Upstream emissions from raw materials, particularly the assumed high impact of aluminum, are significant. This emphasizes the need for sourcing lower-carbon materials and increasing recycled content.</w:t>
      </w:r>
    </w:p>
    <w:p>
      <w:pPr>
        <w:numPr>
          <w:ilvl w:val="0"/>
          <w:numId w:val="1020"/>
        </w:numPr>
        <w:pStyle w:val="Compact"/>
      </w:pPr>
      <w:r>
        <w:rPr>
          <w:bCs/>
          <w:b/>
        </w:rPr>
        <w:t xml:space="preserve">Production Phase (1.14 kg CO2e):</w:t>
      </w:r>
      <w:r>
        <w:t xml:space="preserve"> </w:t>
      </w:r>
      <w:r>
        <w:t xml:space="preserve">While lower than the use phase and materials, the energy consumed in the Chinese manufacturing facility, even with 60% renewable energy usage, still contributes notably. Increasing renewable energy adoption and optimizing manufacturing efficiency are key levers here.</w:t>
      </w:r>
    </w:p>
    <w:bookmarkEnd w:id="44"/>
    <w:bookmarkStart w:id="45" w:name="data-reliability-and-limitations"/>
    <w:p>
      <w:pPr>
        <w:pStyle w:val="Heading3"/>
      </w:pPr>
      <w:r>
        <w:t xml:space="preserve">6.2. Data Reliability and Limitations</w:t>
      </w:r>
    </w:p>
    <w:p>
      <w:pPr>
        <w:pStyle w:val="FirstParagraph"/>
      </w:pPr>
      <w:r>
        <w:t xml:space="preserve">The reliability of this PCF is dependent on the accuracy of the input data. While specific values were provided for the BOM\'s \'Total Carbon\', other parameters like transport modes, distances, and energy usage during the use phase were initially generic placeholders. Illustrative numeric values and industry-standard emission factors (e.g., from IEA, MEE, DEFRA, GLEC, BEIS/Defra, Climatiq) have been applied for these placeholders to enable a complete methodological demonstration. Actual primary data for all supply chain elements would enhance the precision of the footprint. The assumption for avoided emissions at End-of-Life is also based on a generic factor; a more detailed analysis would require material-specific recycling emission factors.</w:t>
      </w:r>
    </w:p>
    <w:bookmarkEnd w:id="45"/>
    <w:bookmarkStart w:id="46" w:name="recommendations-for-reduction"/>
    <w:p>
      <w:pPr>
        <w:pStyle w:val="Heading3"/>
      </w:pPr>
      <w:r>
        <w:t xml:space="preserve">6.3. Recommendations for Reduction</w:t>
      </w:r>
    </w:p>
    <w:p>
      <w:pPr>
        <w:numPr>
          <w:ilvl w:val="0"/>
          <w:numId w:val="1021"/>
        </w:numPr>
        <w:pStyle w:val="Compact"/>
      </w:pPr>
      <w:r>
        <w:rPr>
          <w:bCs/>
          <w:b/>
        </w:rPr>
        <w:t xml:space="preserve">Enhance Use Phase Efficiency:</w:t>
      </w:r>
      <w:r>
        <w:t xml:space="preserve"> </w:t>
      </w:r>
      <w:r>
        <w:t xml:space="preserve">Focus on designing for even lower energy consumption during operation. Explore smart energy management features.</w:t>
      </w:r>
    </w:p>
    <w:p>
      <w:pPr>
        <w:numPr>
          <w:ilvl w:val="0"/>
          <w:numId w:val="1021"/>
        </w:numPr>
        <w:pStyle w:val="Compact"/>
      </w:pPr>
      <w:r>
        <w:rPr>
          <w:bCs/>
          <w:b/>
        </w:rPr>
        <w:t xml:space="preserve">Sustainable Material Sourcing:</w:t>
      </w:r>
      <w:r>
        <w:t xml:space="preserve"> </w:t>
      </w:r>
      <w:r>
        <w:t xml:space="preserve">Investigate alternative materials with lower inherent carbon footprints or higher recycled content, especially for components like the aluminum casing.</w:t>
      </w:r>
    </w:p>
    <w:p>
      <w:pPr>
        <w:numPr>
          <w:ilvl w:val="0"/>
          <w:numId w:val="1021"/>
        </w:numPr>
        <w:pStyle w:val="Compact"/>
      </w:pPr>
      <w:r>
        <w:rPr>
          <w:bCs/>
          <w:b/>
        </w:rPr>
        <w:t xml:space="preserve">Increase Renewable Energy in Production:</w:t>
      </w:r>
      <w:r>
        <w:t xml:space="preserve"> </w:t>
      </w:r>
      <w:r>
        <w:t xml:space="preserve">Continuously increase the percentage of renewable energy used in manufacturing facilities, both owned and by suppliers.</w:t>
      </w:r>
    </w:p>
    <w:p>
      <w:pPr>
        <w:numPr>
          <w:ilvl w:val="0"/>
          <w:numId w:val="1021"/>
        </w:numPr>
        <w:pStyle w:val="Compact"/>
      </w:pPr>
      <w:r>
        <w:rPr>
          <w:bCs/>
          <w:b/>
        </w:rPr>
        <w:t xml:space="preserve">Optimize Logistics:</w:t>
      </w:r>
      <w:r>
        <w:t xml:space="preserve"> </w:t>
      </w:r>
      <w:r>
        <w:t xml:space="preserve">Evaluate opportunities for transport mode shifts (e.g., from road to rail or sea where feasible for European distribution), route optimization, and maximizing load factors to further reduce transport emissions.</w:t>
      </w:r>
    </w:p>
    <w:p>
      <w:pPr>
        <w:numPr>
          <w:ilvl w:val="0"/>
          <w:numId w:val="1021"/>
        </w:numPr>
        <w:pStyle w:val="Compact"/>
      </w:pPr>
      <w:r>
        <w:rPr>
          <w:bCs/>
          <w:b/>
        </w:rPr>
        <w:t xml:space="preserve">Strengthen Circular Economy Initiatives:</w:t>
      </w:r>
      <w:r>
        <w:t xml:space="preserve"> </w:t>
      </w:r>
      <w:r>
        <w:t xml:space="preserve">Expand and promote the \'Manufacturer Take-back Program\' to ensure a high recovery and recycling rate, aiming to maximize avoided emissions and close material loops.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EcoGadget Pro</dc:title>
  <dc:creator/>
  <dc:description>High-detail Product Carbon Footprint (PCF) analysis report for EcoGadget Pro (lufpqoigjk) by tjtxngrpdl, a Senior Sustainability Consultant, adhering to GHG Protocol standards and 2026 LSR update.</dc:description>
  <dc:language>en</dc:language>
  <cp:keywords/>
  <dcterms:created xsi:type="dcterms:W3CDTF">2026-05-30T16:57:51Z</dcterms:created>
  <dcterms:modified xsi:type="dcterms:W3CDTF">2026-05-30T16:57:51Z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