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dygsmyvlte</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Product: dygsmyvlte</w:t>
      </w:r>
    </w:p>
    <w:p>
      <w:pPr>
        <w:pStyle w:val="BodyText"/>
      </w:pPr>
      <w:r>
        <w:t xml:space="preserve">For: lkfwyjfmuh</w:t>
      </w:r>
    </w:p>
    <w:p>
      <w:pPr>
        <w:pStyle w:val="BodyText"/>
      </w:pPr>
      <w:r>
        <w:t xml:space="preserve">Prepared by:</w:t>
      </w:r>
    </w:p>
    <w:p>
      <w:pPr>
        <w:pStyle w:val="BodyText"/>
      </w:pPr>
      <w:r>
        <w:t xml:space="preserve">kjwztgzoqi</w:t>
      </w:r>
    </w:p>
    <w:p>
      <w:pPr>
        <w:pStyle w:val="BodyText"/>
      </w:pPr>
      <w:r>
        <w:t xml:space="preserve">Senior Sustainability Consultant specializing in GHG Protocol</w:t>
      </w:r>
    </w:p>
    <w:p>
      <w:pPr>
        <w:pStyle w:val="BodyText"/>
      </w:pPr>
      <w:r>
        <w:t xml:space="preserve">Protocol Data (Accounting Standard): GHG Protocol</w:t>
      </w:r>
    </w:p>
    <w:p>
      <w:pPr>
        <w:pStyle w:val="BodyText"/>
      </w:pPr>
      <w:r>
        <w:t xml:space="preserve">Disclaimer: This report is generated based on available data and industry standards. Calculations are illustrative due to placeholder input values. For precise results, primary, auditable data should be provided.</w:t>
      </w:r>
    </w:p>
    <w:p>
      <w:pPr>
        <w:pStyle w:val="BodyText"/>
      </w:pPr>
      <w:r>
        <w:t xml:space="preserve">Generated Date: May 18, 2026</w:t>
      </w:r>
    </w:p>
    <w:bookmarkEnd w:id="20"/>
    <w:bookmarkStart w:id="21" w:name="Xc62cb1f6e57bd1d43b1a5fae43a8e2877ec5c7f"/>
    <w:p>
      <w:pPr>
        <w:pStyle w:val="Heading1"/>
      </w:pPr>
      <w:r>
        <w:t xml:space="preserve">Product Carbon Footprint (PCF) Analysis Report</w:t>
      </w:r>
    </w:p>
    <w:p>
      <w:pPr>
        <w:pStyle w:val="FirstParagraph"/>
      </w:pPr>
      <w:r>
        <w:rPr>
          <w:bCs/>
          <w:b/>
        </w:rPr>
        <w:t xml:space="preserve">Generated Date:</w:t>
      </w:r>
      <w:r>
        <w:t xml:space="preserve"> </w:t>
      </w:r>
      <w:r>
        <w:t xml:space="preserve">May 18, 2026</w:t>
      </w:r>
    </w:p>
    <w:p>
      <w:pPr>
        <w:pStyle w:val="BodyText"/>
      </w:pPr>
      <w:r>
        <w:rPr>
          <w:bCs/>
          <w:b/>
        </w:rPr>
        <w:t xml:space="preserve">Company Name:</w:t>
      </w:r>
      <w:r>
        <w:t xml:space="preserve"> </w:t>
      </w:r>
      <w:r>
        <w:t xml:space="preserve">lkfwyjfmuh</w:t>
      </w:r>
    </w:p>
    <w:p>
      <w:pPr>
        <w:pStyle w:val="BodyText"/>
      </w:pPr>
      <w:r>
        <w:rPr>
          <w:bCs/>
          <w:b/>
        </w:rPr>
        <w:t xml:space="preserve">Senior Sustainability Consultant:</w:t>
      </w:r>
      <w:r>
        <w:t xml:space="preserve"> </w:t>
      </w:r>
      <w:r>
        <w:t xml:space="preserve">kjwztgzoqi</w:t>
      </w:r>
    </w:p>
    <w:p>
      <w:pPr>
        <w:pStyle w:val="BodyText"/>
      </w:pPr>
      <w:r>
        <w:rPr>
          <w:bCs/>
          <w:b/>
        </w:rPr>
        <w:t xml:space="preserve">Product:</w:t>
      </w:r>
      <w:r>
        <w:t xml:space="preserve"> </w:t>
      </w:r>
      <w:r>
        <w:t xml:space="preserve">dygsmyvlte</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dygsmyvlte</w:t>
      </w:r>
      <w:r>
        <w:t xml:space="preserve">, manufactured by</w:t>
      </w:r>
      <w:r>
        <w:t xml:space="preserve"> </w:t>
      </w:r>
      <w:r>
        <w:rPr>
          <w:bCs/>
          <w:b/>
        </w:rPr>
        <w:t xml:space="preserve">lkfwyjfmuh</w:t>
      </w:r>
      <w:r>
        <w:t xml:space="preserve">. As Senior Sustainability Consultant kjwztgzoqi, this analysis adheres strictly to the GHG Protocol accounting standard, incorporating the latest 2026 Land Sector and Removals (LSR) Standard updates and targeting a minimum of 95% Scope 3 coverage. The PCF is calculated for a functional unit of 1.0 unit of dygsmyvlte, covering a "factory-gate" system boundary but extending to include downstream use and end-of-life phases, providing a comprehensive cradle-to-grave perspective for the product\'s lifespan of</w:t>
      </w:r>
      <w:r>
        <w:t xml:space="preserve"> </w:t>
      </w:r>
      <w:r>
        <w:rPr>
          <w:bCs/>
          <w:b/>
        </w:rPr>
        <w:t xml:space="preserve">5 years</w:t>
      </w:r>
      <w:r>
        <w:t xml:space="preserve">. All calculations are based on provided parameters and industry-standard emission factors.</w:t>
      </w:r>
    </w:p>
    <w:p>
      <w:pPr>
        <w:pStyle w:val="BodyText"/>
      </w:pPr>
      <w:r>
        <w:rPr>
          <w:iCs/>
          <w:i/>
        </w:rPr>
        <w:t xml:space="preserve">Note on Placeholder Data: The analysis integrates specific placeholder data for the Bill of Materials (BOM), transport logistics, energy usage, and end-of-life scenarios. For the purpose of demonstrating the methodology, realistic example values have been assumed for these placeholders, as detailed in Section 3. The calculated carbon footprint is therefore illustrative and subject to the accuracy of these assumed values.</w:t>
      </w:r>
    </w:p>
    <w:bookmarkEnd w:id="22"/>
    <w:p>
      <w:r>
        <w:pict>
          <v:rect style="width:0;height:1.5pt" o:hralign="center" o:hrstd="t" o:hr="t"/>
        </w:pict>
      </w:r>
    </w:p>
    <w:bookmarkStart w:id="27" w:name="define-scope"/>
    <w:p>
      <w:pPr>
        <w:pStyle w:val="Heading2"/>
      </w:pPr>
      <w:r>
        <w:t xml:space="preserve">1. Define Scope</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dygsmyvlte</w:t>
      </w:r>
      <w:r>
        <w:t xml:space="preserve">. This unit serves as the basis for quantifying all associated greenhouse gas emissions throughout the product\'s lifecycle.</w:t>
      </w:r>
    </w:p>
    <w:bookmarkEnd w:id="23"/>
    <w:bookmarkStart w:id="24" w:name="system-boundary"/>
    <w:p>
      <w:pPr>
        <w:pStyle w:val="Heading3"/>
      </w:pPr>
      <w:r>
        <w:t xml:space="preserve">1.2. System Boundary</w:t>
      </w:r>
    </w:p>
    <w:p>
      <w:pPr>
        <w:pStyle w:val="FirstParagraph"/>
      </w:pPr>
      <w:r>
        <w:t xml:space="preserve">The system boundary for this assessment is defined as "factory_gate" for the primary production, but is expanded to encompass a comprehensive cradle-to-grave analysis. This includes:</w:t>
      </w:r>
    </w:p>
    <w:p>
      <w:pPr>
        <w:numPr>
          <w:ilvl w:val="0"/>
          <w:numId w:val="1001"/>
        </w:numPr>
        <w:pStyle w:val="Compact"/>
      </w:pPr>
      <w:r>
        <w:rPr>
          <w:bCs/>
          <w:b/>
        </w:rPr>
        <w:t xml:space="preserve">Upstream (Scope 3):</w:t>
      </w:r>
      <w:r>
        <w:t xml:space="preserve"> </w:t>
      </w:r>
      <w:r>
        <w:t xml:space="preserve">Raw material acquisition and pre-processing, inbound logistics to the manufacturing facility.</w:t>
      </w:r>
    </w:p>
    <w:p>
      <w:pPr>
        <w:numPr>
          <w:ilvl w:val="0"/>
          <w:numId w:val="1001"/>
        </w:numPr>
        <w:pStyle w:val="Compact"/>
      </w:pPr>
      <w:r>
        <w:rPr>
          <w:bCs/>
          <w:b/>
        </w:rPr>
        <w:t xml:space="preserve">Core (Scope 1 &amp; 2):</w:t>
      </w:r>
      <w:r>
        <w:t xml:space="preserve"> </w:t>
      </w:r>
      <w:r>
        <w:t xml:space="preserve">Manufacturing processes at the production facility in China.</w:t>
      </w:r>
    </w:p>
    <w:p>
      <w:pPr>
        <w:numPr>
          <w:ilvl w:val="0"/>
          <w:numId w:val="1001"/>
        </w:numPr>
        <w:pStyle w:val="Compact"/>
      </w:pPr>
      <w:r>
        <w:rPr>
          <w:bCs/>
          <w:b/>
        </w:rPr>
        <w:t xml:space="preserve">Downstream (Scope 3):</w:t>
      </w:r>
      <w:r>
        <w:t xml:space="preserve"> </w:t>
      </w:r>
      <w:r>
        <w:t xml:space="preserve">Outbound logistics from the factory to the market, last-mile delivery, the product\'s use phase, and its end-of-life treatment.</w:t>
      </w:r>
    </w:p>
    <w:bookmarkEnd w:id="24"/>
    <w:bookmarkStart w:id="25" w:name="geographic-scope"/>
    <w:p>
      <w:pPr>
        <w:pStyle w:val="Heading3"/>
      </w:pPr>
      <w:r>
        <w:t xml:space="preserve">1.3.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(indicating that upstream material sourcing and downstream distribution are relevant to Europe).</w:t>
      </w:r>
    </w:p>
    <w:bookmarkEnd w:id="25"/>
    <w:bookmarkStart w:id="26" w:name="allocation"/>
    <w:p>
      <w:pPr>
        <w:pStyle w:val="Heading3"/>
      </w:pPr>
      <w:r>
        <w:t xml:space="preserve">1.4. Allocation</w:t>
      </w:r>
    </w:p>
    <w:p>
      <w:pPr>
        <w:pStyle w:val="FirstParagraph"/>
      </w:pPr>
      <w:r>
        <w:t xml:space="preserve">Emissions are allocated directly to the functional unit (1.0 unit of dygsmyvlte) based on mass, energy consumption, and distance-based transport activities. Where co-products or by-products exist, allocation is performed using generally accepted mass-based or economic allocation principles, though for this specific product analysis, direct attribution is prioritized given the functional unit. Recycling benefits at end-of-life are treated as credits, reducing the overall PCF.</w:t>
      </w:r>
    </w:p>
    <w:bookmarkEnd w:id="26"/>
    <w:bookmarkEnd w:id="27"/>
    <w:p>
      <w:r>
        <w:pict>
          <v:rect style="width:0;height:1.5pt" o:hralign="center" o:hrstd="t" o:hr="t"/>
        </w:pict>
      </w:r>
    </w:p>
    <w:bookmarkStart w:id="33" w:name="map-lifecycle-3.-collect-data"/>
    <w:p>
      <w:pPr>
        <w:pStyle w:val="Heading2"/>
      </w:pPr>
      <w:r>
        <w:t xml:space="preserve">2. Map Lifecycle &amp; 3. Collect Data</w:t>
      </w:r>
    </w:p>
    <w:p>
      <w:pPr>
        <w:pStyle w:val="FirstParagraph"/>
      </w:pPr>
      <w:r>
        <w:t xml:space="preserve">The lifecycle of dygsmyvlte is mapped across five key stages, and data is collected for each. Primary data points are based on the parameters provided by lkfwyjfmuh (using assumed numerical values for placeholders), while secondary data (emission factors) are derived from industry-standard sources like Ecoinvent and DEFRA equivalents for illustrative purposes.</w:t>
      </w:r>
    </w:p>
    <w:bookmarkStart w:id="28" w:name="X4dafafe4a63eba5025fca8fd479a2f5da492c68"/>
    <w:p>
      <w:pPr>
        <w:pStyle w:val="Heading3"/>
      </w:pPr>
      <w:r>
        <w:t xml:space="preserve">2.1. Material Acquisition &amp; Pre-processing (Upstream - Scope 3, Category 1)</w:t>
      </w:r>
    </w:p>
    <w:p>
      <w:pPr>
        <w:pStyle w:val="FirstParagraph"/>
      </w:pPr>
      <w:r>
        <w:t xml:space="preserve">The following Bill of Materials (BOM) provides a high-detail breakdown of materials critical to the product dygsmyvlte. The \'Emission Factor\' and \'Total Carbon\' values for each item are directly incorporated as per the provided parameters.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 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5.00</w:t>
            </w:r>
          </w:p>
        </w:tc>
      </w:tr>
      <w:tr>
        <w:tc>
          <w:tcPr/>
          <w:p>
            <w:pPr>
              <w:pStyle w:val="Compact"/>
              <w:jc w:val="left"/>
            </w:pPr>
            <w:r>
              <w:t xml:space="preserve">P001</w:t>
            </w:r>
          </w:p>
        </w:tc>
        <w:tc>
          <w:tcPr/>
          <w:p>
            <w:pPr>
              <w:pStyle w:val="Compact"/>
              <w:jc w:val="left"/>
            </w:pPr>
            <w:r>
              <w:t xml:space="preserve">ABS Plastic Shell</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E001</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B001</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4.00</w:t>
            </w:r>
          </w:p>
        </w:tc>
      </w:tr>
      <w:tr>
        <w:tc>
          <w:tcPr/>
          <w:p>
            <w:pPr>
              <w:pStyle w:val="Compact"/>
              <w:jc w:val="left"/>
            </w:pPr>
            <w:r>
              <w:t xml:space="preserve">PKG01</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Corrugation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r>
        <w:tc>
          <w:tcPr>
            <w:gridSpan w:val="4"/>
          </w:tcPr>
          <w:p>
            <w:pPr>
              <w:pStyle w:val="Compact"/>
              <w:jc w:val="left"/>
            </w:pPr>
            <w:r>
              <w:rPr>
                <w:bCs/>
                <w:b/>
              </w:rPr>
              <w:t xml:space="preserve">Total Product Mass (excluding packaging)</w:t>
            </w:r>
          </w:p>
        </w:tc>
        <w:tc>
          <w:tcPr/>
          <w:p>
            <w:pPr>
              <w:pStyle w:val="Compact"/>
              <w:jc w:val="left"/>
            </w:pPr>
            <w:r>
              <w:rPr>
                <w:bCs/>
                <w:b/>
              </w:rPr>
              <w:t xml:space="preserve">1.1</w:t>
            </w:r>
          </w:p>
        </w:tc>
        <w:tc>
          <w:tcPr/>
          <w:p>
            <w:pPr>
              <w:pStyle w:val="Compact"/>
              <w:jc w:val="left"/>
            </w:pPr>
            <w:r>
              <w:t xml:space="preserve">kg</w:t>
            </w:r>
          </w:p>
        </w:tc>
        <w:tc>
          <w:tcPr/>
          <w:p>
            <w:pPr>
              <w:pStyle w:val="Compact"/>
            </w:pPr>
          </w:p>
        </w:tc>
        <w:tc>
          <w:tcPr/>
          <w:p>
            <w:pPr>
              <w:pStyle w:val="Compact"/>
            </w:pPr>
          </w:p>
        </w:tc>
      </w:tr>
      <w:tr>
        <w:tc>
          <w:tcPr>
            <w:gridSpan w:val="4"/>
          </w:tcPr>
          <w:p>
            <w:pPr>
              <w:pStyle w:val="Compact"/>
              <w:jc w:val="left"/>
            </w:pPr>
            <w:r>
              <w:rPr>
                <w:bCs/>
                <w:b/>
              </w:rPr>
              <w:t xml:space="preserve">Total Material &amp; Packaging Mass</w:t>
            </w:r>
          </w:p>
        </w:tc>
        <w:tc>
          <w:tcPr/>
          <w:p>
            <w:pPr>
              <w:pStyle w:val="Compact"/>
              <w:jc w:val="left"/>
            </w:pPr>
            <w:r>
              <w:rPr>
                <w:bCs/>
                <w:b/>
              </w:rPr>
              <w:t xml:space="preserve">1.2</w:t>
            </w:r>
          </w:p>
        </w:tc>
        <w:tc>
          <w:tcPr/>
          <w:p>
            <w:pPr>
              <w:pStyle w:val="Compact"/>
              <w:jc w:val="left"/>
            </w:pPr>
            <w:r>
              <w:t xml:space="preserve">kg</w:t>
            </w:r>
          </w:p>
        </w:tc>
        <w:tc>
          <w:tcPr/>
          <w:p>
            <w:pPr>
              <w:pStyle w:val="Compact"/>
            </w:pPr>
          </w:p>
        </w:tc>
        <w:tc>
          <w:tcPr/>
          <w:p>
            <w:pPr>
              <w:pStyle w:val="Compact"/>
            </w:pPr>
          </w:p>
        </w:tc>
      </w:tr>
      <w:tr>
        <w:tc>
          <w:tcPr>
            <w:gridSpan w:val="7"/>
          </w:tcPr>
          <w:p>
            <w:pPr>
              <w:pStyle w:val="Compact"/>
              <w:jc w:val="left"/>
            </w:pPr>
            <w:r>
              <w:rPr>
                <w:bCs/>
                <w:b/>
              </w:rPr>
              <w:t xml:space="preserve">Total Upstream Material Emissions (from BOM)</w:t>
            </w:r>
          </w:p>
        </w:tc>
        <w:tc>
          <w:tcPr/>
          <w:p>
            <w:pPr>
              <w:pStyle w:val="Compact"/>
              <w:jc w:val="left"/>
            </w:pPr>
            <w:r>
              <w:rPr>
                <w:bCs/>
                <w:b/>
              </w:rPr>
              <w:t xml:space="preserve">11.65</w:t>
            </w:r>
          </w:p>
        </w:tc>
      </w:tr>
    </w:tbl>
    <w:p>
      <w:pPr>
        <w:pStyle w:val="BodyText"/>
      </w:pPr>
      <w:r>
        <w:rPr>
          <w:iCs/>
          <w:i/>
        </w:rPr>
        <w:t xml:space="preserve">Assumption: For PCB and Lithium-ion Battery, the \'Qty\' is in units, and the \'Emission Factor\' is per unit for the entire component, representing its embedded carbon. The total mass for transport calculations uses the sum of all material and packaging \'Qty\' in kg.</w:t>
      </w:r>
    </w:p>
    <w:bookmarkEnd w:id="28"/>
    <w:bookmarkStart w:id="29" w:name="manufacturing-core---scope-1-2"/>
    <w:p>
      <w:pPr>
        <w:pStyle w:val="Heading3"/>
      </w:pPr>
      <w:r>
        <w:t xml:space="preserve">2.2. Manufacturing (Core - Scope 1 &amp; 2)</w:t>
      </w:r>
    </w:p>
    <w:p>
      <w:pPr>
        <w:numPr>
          <w:ilvl w:val="0"/>
          <w:numId w:val="1003"/>
        </w:numPr>
        <w:pStyle w:val="Compact"/>
      </w:pPr>
      <w:r>
        <w:rPr>
          <w:bCs/>
          <w:b/>
        </w:rPr>
        <w:t xml:space="preserve">Energy Intensity (kWh/unit):</w:t>
      </w:r>
      <w:r>
        <w:t xml:space="preserve"> </w:t>
      </w:r>
      <w:r>
        <w:t xml:space="preserve">jwpmnzemmo (Assumed: 5.0 kWh/unit)</w:t>
      </w:r>
    </w:p>
    <w:p>
      <w:pPr>
        <w:numPr>
          <w:ilvl w:val="0"/>
          <w:numId w:val="1003"/>
        </w:numPr>
        <w:pStyle w:val="Compact"/>
      </w:pPr>
      <w:r>
        <w:rPr>
          <w:bCs/>
          <w:b/>
        </w:rPr>
        <w:t xml:space="preserve">Renewable Energy Usage:</w:t>
      </w:r>
      <w:r>
        <w:t xml:space="preserve"> </w:t>
      </w:r>
      <w:r>
        <w:t xml:space="preserve">gtsemzxvni (Assumed: 60%)</w:t>
      </w:r>
    </w:p>
    <w:p>
      <w:pPr>
        <w:numPr>
          <w:ilvl w:val="0"/>
          <w:numId w:val="1003"/>
        </w:numPr>
        <w:pStyle w:val="Compact"/>
      </w:pPr>
      <w:r>
        <w:rPr>
          <w:bCs/>
          <w:b/>
        </w:rPr>
        <w:t xml:space="preserve">Non-renewable energy:</w:t>
      </w:r>
      <w:r>
        <w:t xml:space="preserve"> </w:t>
      </w:r>
      <w:r>
        <w:t xml:space="preserve">5.0 kWh/unit * (1 - 0.60) = 2.0 kWh/unit</w:t>
      </w:r>
    </w:p>
    <w:p>
      <w:pPr>
        <w:numPr>
          <w:ilvl w:val="0"/>
          <w:numId w:val="1003"/>
        </w:numPr>
        <w:pStyle w:val="Compact"/>
      </w:pPr>
      <w:r>
        <w:rPr>
          <w:bCs/>
          <w:b/>
        </w:rPr>
        <w:t xml:space="preserve">Renewable energy:</w:t>
      </w:r>
      <w:r>
        <w:t xml:space="preserve"> </w:t>
      </w:r>
      <w:r>
        <w:t xml:space="preserve">5.0 kWh/unit * 0.60 = 3.0 kWh/unit</w:t>
      </w:r>
    </w:p>
    <w:p>
      <w:pPr>
        <w:numPr>
          <w:ilvl w:val="0"/>
          <w:numId w:val="1003"/>
        </w:numPr>
        <w:pStyle w:val="Compact"/>
      </w:pPr>
      <w:r>
        <w:rPr>
          <w:bCs/>
          <w:b/>
        </w:rPr>
        <w:t xml:space="preserve">China Grid Electricity Emission Factor:</w:t>
      </w:r>
      <w:r>
        <w:t xml:space="preserve"> </w:t>
      </w:r>
      <w:r>
        <w:t xml:space="preserve">Assumed 0.75 kgCO2e/kWh (average for coal-dominant grid)</w:t>
      </w:r>
    </w:p>
    <w:p>
      <w:pPr>
        <w:numPr>
          <w:ilvl w:val="0"/>
          <w:numId w:val="1003"/>
        </w:numPr>
        <w:pStyle w:val="Compact"/>
      </w:pPr>
      <w:r>
        <w:rPr>
          <w:bCs/>
          <w:b/>
        </w:rPr>
        <w:t xml:space="preserve">Renewable Electricity Emission Factor (residual):</w:t>
      </w:r>
      <w:r>
        <w:t xml:space="preserve"> </w:t>
      </w:r>
      <w:r>
        <w:t xml:space="preserve">Assumed 0.015 kgCO2e/kWh</w:t>
      </w:r>
    </w:p>
    <w:p>
      <w:pPr>
        <w:numPr>
          <w:ilvl w:val="0"/>
          <w:numId w:val="1003"/>
        </w:numPr>
        <w:pStyle w:val="Compact"/>
      </w:pPr>
      <w:r>
        <w:rPr>
          <w:bCs/>
          <w:b/>
        </w:rPr>
        <w:t xml:space="preserve">Scope 1 (Direct Fuel Use):</w:t>
      </w:r>
      <w:r>
        <w:t xml:space="preserve"> </w:t>
      </w:r>
      <w:r>
        <w:t xml:space="preserve">Considered negligible for this report without specific data, typically covered by factory operational data.</w:t>
      </w:r>
    </w:p>
    <w:bookmarkEnd w:id="29"/>
    <w:bookmarkStart w:id="30" w:name="X520ba4742699b74544d526e8fce48b1cc528d31"/>
    <w:p>
      <w:pPr>
        <w:pStyle w:val="Heading3"/>
      </w:pPr>
      <w:r>
        <w:t xml:space="preserve">2.3. Transport (Upstream &amp; Downstream - Scope 3, Categories 4 &amp; 9)</w:t>
      </w:r>
    </w:p>
    <w:p>
      <w:pPr>
        <w:numPr>
          <w:ilvl w:val="0"/>
          <w:numId w:val="1004"/>
        </w:numPr>
        <w:pStyle w:val="Compact"/>
      </w:pPr>
      <w:r>
        <w:rPr>
          <w:bCs/>
          <w:b/>
        </w:rPr>
        <w:t xml:space="preserve">Total Product Mass for Transport:</w:t>
      </w:r>
      <w:r>
        <w:t xml:space="preserve"> </w:t>
      </w:r>
      <w:r>
        <w:t xml:space="preserve">1.2 kg (sum of all BOM item quantities)</w:t>
      </w:r>
    </w:p>
    <w:p>
      <w:pPr>
        <w:numPr>
          <w:ilvl w:val="0"/>
          <w:numId w:val="1004"/>
        </w:numPr>
        <w:pStyle w:val="Compact"/>
      </w:pPr>
      <w:r>
        <w:rPr>
          <w:bCs/>
          <w:b/>
        </w:rPr>
        <w:t xml:space="preserve">Inbound Transport (Materials to China Factory):</w:t>
      </w:r>
    </w:p>
    <w:p>
      <w:pPr>
        <w:numPr>
          <w:ilvl w:val="1"/>
          <w:numId w:val="1005"/>
        </w:numPr>
        <w:pStyle w:val="Compact"/>
      </w:pPr>
      <w:r>
        <w:rPr>
          <w:bCs/>
          <w:b/>
        </w:rPr>
        <w:t xml:space="preserve">Transport Mode:</w:t>
      </w:r>
      <w:r>
        <w:t xml:space="preserve"> </w:t>
      </w:r>
      <w:r>
        <w:t xml:space="preserve">Select Mode (Assumed: Road Freight - Heavy Duty Truck)</w:t>
      </w:r>
    </w:p>
    <w:p>
      <w:pPr>
        <w:numPr>
          <w:ilvl w:val="1"/>
          <w:numId w:val="1005"/>
        </w:numPr>
        <w:pStyle w:val="Compact"/>
      </w:pPr>
      <w:r>
        <w:rPr>
          <w:bCs/>
          <w:b/>
        </w:rPr>
        <w:t xml:space="preserve">Transport Distance:</w:t>
      </w:r>
      <w:r>
        <w:t xml:space="preserve"> </w:t>
      </w:r>
      <w:r>
        <w:t xml:space="preserve">jtxlpjpmyn (Assumed: 3,000 km)</w:t>
      </w:r>
    </w:p>
    <w:p>
      <w:pPr>
        <w:numPr>
          <w:ilvl w:val="1"/>
          <w:numId w:val="1005"/>
        </w:numPr>
        <w:pStyle w:val="Compact"/>
      </w:pPr>
      <w:r>
        <w:rPr>
          <w:bCs/>
          <w:b/>
        </w:rPr>
        <w:t xml:space="preserve">Emission Factor (Heavy Duty Truck):</w:t>
      </w:r>
      <w:r>
        <w:t xml:space="preserve"> </w:t>
      </w:r>
      <w:r>
        <w:t xml:space="preserve">Assumed 0.10 kgCO2e/tonne-km</w:t>
      </w:r>
    </w:p>
    <w:p>
      <w:pPr>
        <w:numPr>
          <w:ilvl w:val="0"/>
          <w:numId w:val="1004"/>
        </w:numPr>
        <w:pStyle w:val="Compact"/>
      </w:pPr>
      <w:r>
        <w:rPr>
          <w:bCs/>
          <w:b/>
        </w:rPr>
        <w:t xml:space="preserve">Outbound Transport (China Factory to Europe Market):</w:t>
      </w:r>
    </w:p>
    <w:p>
      <w:pPr>
        <w:numPr>
          <w:ilvl w:val="1"/>
          <w:numId w:val="1006"/>
        </w:numPr>
        <w:pStyle w:val="Compact"/>
      </w:pPr>
      <w:r>
        <w:rPr>
          <w:bCs/>
          <w:b/>
        </w:rPr>
        <w:t xml:space="preserve">Transport Mode:</w:t>
      </w:r>
      <w:r>
        <w:t xml:space="preserve"> </w:t>
      </w:r>
      <w:r>
        <w:t xml:space="preserve">Select Mode (Assumed: Road Freight - Heavy Duty Truck)</w:t>
      </w:r>
    </w:p>
    <w:p>
      <w:pPr>
        <w:numPr>
          <w:ilvl w:val="1"/>
          <w:numId w:val="1006"/>
        </w:numPr>
        <w:pStyle w:val="Compact"/>
      </w:pPr>
      <w:r>
        <w:rPr>
          <w:bCs/>
          <w:b/>
        </w:rPr>
        <w:t xml:space="preserve">Transport Distance:</w:t>
      </w:r>
      <w:r>
        <w:t xml:space="preserve"> </w:t>
      </w:r>
      <w:r>
        <w:t xml:space="preserve">jtxlpjpmyn (Assumed: 10,000 km)</w:t>
      </w:r>
    </w:p>
    <w:p>
      <w:pPr>
        <w:numPr>
          <w:ilvl w:val="1"/>
          <w:numId w:val="1006"/>
        </w:numPr>
        <w:pStyle w:val="Compact"/>
      </w:pPr>
      <w:r>
        <w:rPr>
          <w:bCs/>
          <w:b/>
        </w:rPr>
        <w:t xml:space="preserve">Emission Factor (Heavy Duty Truck):</w:t>
      </w:r>
      <w:r>
        <w:t xml:space="preserve"> </w:t>
      </w:r>
      <w:r>
        <w:t xml:space="preserve">Assumed 0.10 kgCO2e/tonne-km</w:t>
      </w:r>
    </w:p>
    <w:p>
      <w:pPr>
        <w:numPr>
          <w:ilvl w:val="0"/>
          <w:numId w:val="1004"/>
        </w:numPr>
        <w:pStyle w:val="Compact"/>
      </w:pPr>
      <w:r>
        <w:rPr>
          <w:bCs/>
          <w:b/>
        </w:rPr>
        <w:t xml:space="preserve">Last-Mile Delivery (in Europe):</w:t>
      </w:r>
    </w:p>
    <w:p>
      <w:pPr>
        <w:numPr>
          <w:ilvl w:val="1"/>
          <w:numId w:val="1007"/>
        </w:numPr>
        <w:pStyle w:val="Compact"/>
      </w:pPr>
      <w:r>
        <w:rPr>
          <w:bCs/>
          <w:b/>
        </w:rPr>
        <w:t xml:space="preserve">Last-Mile Delivery Channel:</w:t>
      </w:r>
      <w:r>
        <w:t xml:space="preserve"> </w:t>
      </w:r>
      <w:r>
        <w:t xml:space="preserve">Delivery Type (Assumed: Road Freight - Light Commercial Vehicle)</w:t>
      </w:r>
    </w:p>
    <w:p>
      <w:pPr>
        <w:numPr>
          <w:ilvl w:val="1"/>
          <w:numId w:val="1007"/>
        </w:numPr>
        <w:pStyle w:val="Compact"/>
      </w:pPr>
      <w:r>
        <w:rPr>
          <w:bCs/>
          <w:b/>
        </w:rPr>
        <w:t xml:space="preserve">Transport Distance:</w:t>
      </w:r>
      <w:r>
        <w:t xml:space="preserve"> </w:t>
      </w:r>
      <w:r>
        <w:t xml:space="preserve">jtxlpjpmyn (Assumed: 500 km)</w:t>
      </w:r>
    </w:p>
    <w:p>
      <w:pPr>
        <w:numPr>
          <w:ilvl w:val="1"/>
          <w:numId w:val="1007"/>
        </w:numPr>
        <w:pStyle w:val="Compact"/>
      </w:pPr>
      <w:r>
        <w:rPr>
          <w:bCs/>
          <w:b/>
        </w:rPr>
        <w:t xml:space="preserve">Emission Factor (Light Commercial Vehicle):</w:t>
      </w:r>
      <w:r>
        <w:t xml:space="preserve"> </w:t>
      </w:r>
      <w:r>
        <w:t xml:space="preserve">Assumed 0.30 kgCO2e/tonne-km</w:t>
      </w:r>
    </w:p>
    <w:bookmarkEnd w:id="30"/>
    <w:bookmarkStart w:id="31" w:name="X01fffecb4d51cf9638741502492363d57dc681a"/>
    <w:p>
      <w:pPr>
        <w:pStyle w:val="Heading3"/>
      </w:pPr>
      <w:r>
        <w:t xml:space="preserve">2.4. Use Phase (Downstream - Scope 3, Category 11)</w:t>
      </w:r>
    </w:p>
    <w:p>
      <w:pPr>
        <w:numPr>
          <w:ilvl w:val="0"/>
          <w:numId w:val="1008"/>
        </w:numPr>
        <w:pStyle w:val="Compact"/>
      </w:pPr>
      <w:r>
        <w:rPr>
          <w:bCs/>
          <w:b/>
        </w:rPr>
        <w:t xml:space="preserve">Product Lifespan:</w:t>
      </w:r>
      <w:r>
        <w:t xml:space="preserve"> </w:t>
      </w:r>
      <w:r>
        <w:t xml:space="preserve">eyjwiedjfh (Assumed: 5 years)</w:t>
      </w:r>
    </w:p>
    <w:p>
      <w:pPr>
        <w:numPr>
          <w:ilvl w:val="0"/>
          <w:numId w:val="1008"/>
        </w:numPr>
        <w:pStyle w:val="Compact"/>
      </w:pPr>
      <w:r>
        <w:rPr>
          <w:bCs/>
          <w:b/>
        </w:rPr>
        <w:t xml:space="preserve">Energy Consumption in Use:</w:t>
      </w:r>
      <w:r>
        <w:t xml:space="preserve"> </w:t>
      </w:r>
      <w:r>
        <w:t xml:space="preserve">tddjxvmpfw (Assumed: 10 kWh/year)</w:t>
      </w:r>
    </w:p>
    <w:p>
      <w:pPr>
        <w:numPr>
          <w:ilvl w:val="0"/>
          <w:numId w:val="1008"/>
        </w:numPr>
        <w:pStyle w:val="Compact"/>
      </w:pPr>
      <w:r>
        <w:rPr>
          <w:bCs/>
          <w:b/>
        </w:rPr>
        <w:t xml:space="preserve">Europe Grid Electricity Emission Factor:</w:t>
      </w:r>
      <w:r>
        <w:t xml:space="preserve"> </w:t>
      </w:r>
      <w:r>
        <w:t xml:space="preserve">Assumed 0.30 kgCO2e/kWh (average for European grid mix)</w:t>
      </w:r>
    </w:p>
    <w:bookmarkEnd w:id="31"/>
    <w:bookmarkStart w:id="32" w:name="Xfd069e7e5106f6c55e532b52df751e12046219f"/>
    <w:p>
      <w:pPr>
        <w:pStyle w:val="Heading3"/>
      </w:pPr>
      <w:r>
        <w:t xml:space="preserve">2.5. End-of-Life (Downstream - Scope 3, Category 12)</w:t>
      </w:r>
    </w:p>
    <w:p>
      <w:pPr>
        <w:numPr>
          <w:ilvl w:val="0"/>
          <w:numId w:val="1009"/>
        </w:numPr>
        <w:pStyle w:val="Compact"/>
      </w:pPr>
      <w:r>
        <w:rPr>
          <w:bCs/>
          <w:b/>
        </w:rPr>
        <w:t xml:space="preserve">Recyclability Percentage:</w:t>
      </w:r>
      <w:r>
        <w:t xml:space="preserve"> </w:t>
      </w:r>
      <w:r>
        <w:t xml:space="preserve">simxeumouv (Assumed: 80%)</w:t>
      </w:r>
    </w:p>
    <w:p>
      <w:pPr>
        <w:numPr>
          <w:ilvl w:val="0"/>
          <w:numId w:val="1009"/>
        </w:numPr>
        <w:pStyle w:val="Compact"/>
      </w:pPr>
      <w:r>
        <w:rPr>
          <w:bCs/>
          <w:b/>
        </w:rPr>
        <w:t xml:space="preserve">Circular/Take-back Programs:</w:t>
      </w:r>
      <w:r>
        <w:t xml:space="preserve"> </w:t>
      </w:r>
      <w:r>
        <w:t xml:space="preserve">nyhpxthjow (Assumed: Yes, established take-back scheme with material recovery.)</w:t>
      </w:r>
    </w:p>
    <w:p>
      <w:pPr>
        <w:numPr>
          <w:ilvl w:val="0"/>
          <w:numId w:val="1009"/>
        </w:numPr>
        <w:pStyle w:val="Compact"/>
      </w:pPr>
      <w:r>
        <w:rPr>
          <w:bCs/>
          <w:b/>
        </w:rPr>
        <w:t xml:space="preserve">Emission Factor (Landfill for unrecyclable portion):</w:t>
      </w:r>
      <w:r>
        <w:t xml:space="preserve"> </w:t>
      </w:r>
      <w:r>
        <w:t xml:space="preserve">Assumed 1.0 kgCO2e/kg (for mixed waste)</w:t>
      </w:r>
    </w:p>
    <w:p>
      <w:pPr>
        <w:numPr>
          <w:ilvl w:val="0"/>
          <w:numId w:val="1009"/>
        </w:numPr>
        <w:pStyle w:val="Compact"/>
      </w:pPr>
      <w:r>
        <w:rPr>
          <w:bCs/>
          <w:b/>
        </w:rPr>
        <w:t xml:space="preserve">Emission Factor (Recycling Credit for recyclable portion):</w:t>
      </w:r>
      <w:r>
        <w:t xml:space="preserve"> </w:t>
      </w:r>
      <w:r>
        <w:t xml:space="preserve">Assumed -0.5 kgCO2e/kg (general material recycling benefit/credit)</w:t>
      </w:r>
    </w:p>
    <w:bookmarkEnd w:id="32"/>
    <w:bookmarkEnd w:id="33"/>
    <w:p>
      <w:r>
        <w:pict>
          <v:rect style="width:0;height:1.5pt" o:hralign="center" o:hrstd="t" o:hr="t"/>
        </w:pict>
      </w:r>
    </w:p>
    <w:bookmarkStart w:id="38" w:name="calculate-emissions"/>
    <w:p>
      <w:pPr>
        <w:pStyle w:val="Heading2"/>
      </w:pPr>
      <w:r>
        <w:t xml:space="preserve">4. Calculate Emissions</w:t>
      </w:r>
    </w:p>
    <w:p>
      <w:pPr>
        <w:pStyle w:val="FirstParagraph"/>
      </w:pPr>
      <w:r>
        <w:t xml:space="preserve">Emissions are calculated for each lifecycle stage based on the activity data and corresponding emission factors. These are then categorized according to the GHG Protocol\'s Scope 1, Scope 2, and Scope 3 definitions.</w:t>
      </w:r>
    </w:p>
    <w:bookmarkStart w:id="34" w:name="Xd29da697283028a52795dc62406b9cd98c3a22f"/>
    <w:p>
      <w:pPr>
        <w:pStyle w:val="Heading3"/>
      </w:pPr>
      <w:r>
        <w:t xml:space="preserve">4.1. Lifecycle Emission Breakdown for dygsmyvlte (per 1.0 unit)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Calculation Basis</w:t>
            </w:r>
          </w:p>
        </w:tc>
        <w:tc>
          <w:tcPr/>
          <w:p>
            <w:pPr>
              <w:pStyle w:val="Compact"/>
              <w:jc w:val="left"/>
            </w:pPr>
            <w:r>
              <w:t xml:space="preserve">Emissions (kgCO2e)</w:t>
            </w:r>
          </w:p>
        </w:tc>
      </w:tr>
      <w:tr>
        <w:tc>
          <w:tcPr/>
          <w:p>
            <w:pPr>
              <w:pStyle w:val="Compact"/>
              <w:jc w:val="left"/>
            </w:pPr>
            <w:r>
              <w:rPr>
                <w:bCs/>
                <w:b/>
              </w:rPr>
              <w:t xml:space="preserve">1. Material Acquisition &amp; Pre-processing</w:t>
            </w:r>
          </w:p>
        </w:tc>
        <w:tc>
          <w:tcPr/>
          <w:p>
            <w:pPr>
              <w:pStyle w:val="Compact"/>
              <w:jc w:val="left"/>
            </w:pPr>
            <w:r>
              <w:t xml:space="preserve">Scope 3 (Category 1)</w:t>
            </w:r>
          </w:p>
        </w:tc>
        <w:tc>
          <w:tcPr/>
          <w:p>
            <w:pPr>
              <w:pStyle w:val="Compact"/>
              <w:jc w:val="left"/>
            </w:pPr>
            <w:r>
              <w:t xml:space="preserve">Sum of \'Total Carbon\' from BOM</w:t>
            </w:r>
          </w:p>
        </w:tc>
        <w:tc>
          <w:tcPr/>
          <w:p>
            <w:pPr>
              <w:pStyle w:val="Compact"/>
              <w:jc w:val="left"/>
            </w:pPr>
            <w:r>
              <w:t xml:space="preserve">11.65</w:t>
            </w:r>
          </w:p>
        </w:tc>
      </w:tr>
      <w:tr>
        <w:tc>
          <w:tcPr/>
          <w:p>
            <w:pPr>
              <w:pStyle w:val="Compact"/>
              <w:jc w:val="left"/>
            </w:pPr>
            <w:r>
              <w:rPr>
                <w:bCs/>
                <w:b/>
              </w:rPr>
              <w:t xml:space="preserve">2. Manufacturing</w:t>
            </w:r>
          </w:p>
        </w:tc>
        <w:tc>
          <w:tcPr/>
          <w:p>
            <w:pPr>
              <w:pStyle w:val="Compact"/>
              <w:jc w:val="left"/>
            </w:pPr>
            <w:r>
              <w:t xml:space="preserve">Scope 2</w:t>
            </w:r>
          </w:p>
        </w:tc>
        <w:tc>
          <w:tcPr/>
          <w:p>
            <w:pPr>
              <w:pStyle w:val="Compact"/>
              <w:jc w:val="left"/>
            </w:pPr>
            <w:r>
              <w:t xml:space="preserve">(2.0 kWh * 0.75 kgCO2e/kWh) + (3.0 kWh * 0.015 kgCO2e/kWh)</w:t>
            </w:r>
          </w:p>
        </w:tc>
        <w:tc>
          <w:tcPr/>
          <w:p>
            <w:pPr>
              <w:pStyle w:val="Compact"/>
              <w:jc w:val="left"/>
            </w:pPr>
            <w:r>
              <w:t xml:space="preserve">1.545</w:t>
            </w:r>
          </w:p>
        </w:tc>
      </w:tr>
      <w:tr>
        <w:tc>
          <w:tcPr>
            <w:vMerge w:val="restart"/>
          </w:tcPr>
          <w:p>
            <w:pPr>
              <w:pStyle w:val="Compact"/>
              <w:jc w:val="left"/>
            </w:pPr>
            <w:r>
              <w:rPr>
                <w:bCs/>
                <w:b/>
              </w:rPr>
              <w:t xml:space="preserve">3. Transport</w:t>
            </w:r>
          </w:p>
        </w:tc>
        <w:tc>
          <w:tcPr>
            <w:vMerge w:val="restart"/>
          </w:tcPr>
          <w:p>
            <w:pPr>
              <w:pStyle w:val="Compact"/>
              <w:jc w:val="left"/>
            </w:pPr>
            <w:r>
              <w:t xml:space="preserve">Scope 3 (Category 4)</w:t>
            </w:r>
          </w:p>
        </w:tc>
        <w:tc>
          <w:tcPr/>
          <w:p>
            <w:pPr>
              <w:pStyle w:val="Compact"/>
              <w:jc w:val="left"/>
            </w:pPr>
            <w:r>
              <w:t xml:space="preserve">Inbound Logistics: 1.2 kg * (3000 km / 1000) * 0.10 kgCO2e/tonne-km</w:t>
            </w:r>
          </w:p>
        </w:tc>
        <w:tc>
          <w:tcPr/>
          <w:p>
            <w:pPr>
              <w:pStyle w:val="Compact"/>
              <w:jc w:val="left"/>
            </w:pPr>
            <w:r>
              <w:t xml:space="preserve">0.36</w:t>
            </w:r>
          </w:p>
        </w:tc>
      </w:tr>
      <w:tr>
        <w:tc>
          <w:tcPr>
            <w:gridSpan w:val="1"/>
            <w:vMerge w:val="continue"/>
          </w:tcPr>
          <w:p>
            <w:pPr/>
          </w:p>
        </w:tc>
        <w:tc>
          <w:tcPr>
            <w:gridSpan w:val="1"/>
            <w:vMerge w:val="continue"/>
          </w:tcPr>
          <w:p>
            <w:pPr/>
          </w:p>
        </w:tc>
        <w:tc>
          <w:tcPr/>
          <w:p>
            <w:pPr>
              <w:pStyle w:val="Compact"/>
              <w:jc w:val="left"/>
            </w:pPr>
            <w:r>
              <w:t xml:space="preserve">Outbound Logistics: 1.2 kg * (10000 km / 1000) * 0.10 kgCO2e/tonne-km</w:t>
            </w:r>
          </w:p>
        </w:tc>
        <w:tc>
          <w:tcPr/>
          <w:p>
            <w:pPr>
              <w:pStyle w:val="Compact"/>
              <w:jc w:val="left"/>
            </w:pPr>
            <w:r>
              <w:t xml:space="preserve">1.20</w:t>
            </w:r>
          </w:p>
        </w:tc>
      </w:tr>
      <w:tr>
        <w:tc>
          <w:tcPr>
            <w:gridSpan w:val="1"/>
            <w:vMerge w:val="continue"/>
          </w:tcPr>
          <w:p>
            <w:pPr/>
          </w:p>
        </w:tc>
        <w:tc>
          <w:tcPr/>
          <w:p>
            <w:pPr>
              <w:pStyle w:val="Compact"/>
              <w:jc w:val="left"/>
            </w:pPr>
            <w:r>
              <w:t xml:space="preserve">Scope 3 (Category 9)</w:t>
            </w:r>
          </w:p>
        </w:tc>
        <w:tc>
          <w:tcPr/>
          <w:p>
            <w:pPr>
              <w:pStyle w:val="Compact"/>
              <w:jc w:val="left"/>
            </w:pPr>
            <w:r>
              <w:t xml:space="preserve">Last-Mile Delivery: 1.2 kg * (500 km / 1000) * 0.30 kgCO2e/tonne-km</w:t>
            </w:r>
          </w:p>
        </w:tc>
        <w:tc>
          <w:tcPr/>
          <w:p>
            <w:pPr>
              <w:pStyle w:val="Compact"/>
              <w:jc w:val="left"/>
            </w:pPr>
            <w:r>
              <w:t xml:space="preserve">0.18</w:t>
            </w:r>
          </w:p>
        </w:tc>
      </w:tr>
      <w:tr>
        <w:tc>
          <w:tcPr/>
          <w:p>
            <w:pPr>
              <w:pStyle w:val="Compact"/>
              <w:jc w:val="left"/>
            </w:pPr>
            <w:r>
              <w:rPr>
                <w:bCs/>
                <w:b/>
              </w:rPr>
              <w:t xml:space="preserve">4. Use Phase</w:t>
            </w:r>
          </w:p>
        </w:tc>
        <w:tc>
          <w:tcPr/>
          <w:p>
            <w:pPr>
              <w:pStyle w:val="Compact"/>
              <w:jc w:val="left"/>
            </w:pPr>
            <w:r>
              <w:t xml:space="preserve">Scope 3 (Category 11)</w:t>
            </w:r>
          </w:p>
        </w:tc>
        <w:tc>
          <w:tcPr/>
          <w:p>
            <w:pPr>
              <w:pStyle w:val="Compact"/>
              <w:jc w:val="left"/>
            </w:pPr>
            <w:r>
              <w:t xml:space="preserve">50 kWh * 0.30 kgCO2e/kWh</w:t>
            </w:r>
          </w:p>
        </w:tc>
        <w:tc>
          <w:tcPr/>
          <w:p>
            <w:pPr>
              <w:pStyle w:val="Compact"/>
              <w:jc w:val="left"/>
            </w:pPr>
            <w:r>
              <w:t xml:space="preserve">15.00</w:t>
            </w:r>
          </w:p>
        </w:tc>
      </w:tr>
      <w:tr>
        <w:tc>
          <w:tcPr/>
          <w:p>
            <w:pPr>
              <w:pStyle w:val="Compact"/>
              <w:jc w:val="left"/>
            </w:pPr>
            <w:r>
              <w:rPr>
                <w:bCs/>
                <w:b/>
              </w:rPr>
              <w:t xml:space="preserve">5. End-of-Life</w:t>
            </w:r>
          </w:p>
        </w:tc>
        <w:tc>
          <w:tcPr/>
          <w:p>
            <w:pPr>
              <w:pStyle w:val="Compact"/>
              <w:jc w:val="left"/>
            </w:pPr>
            <w:r>
              <w:t xml:space="preserve">Scope 3 (Category 12)</w:t>
            </w:r>
          </w:p>
        </w:tc>
        <w:tc>
          <w:tcPr/>
          <w:p>
            <w:pPr>
              <w:pStyle w:val="Compact"/>
              <w:jc w:val="left"/>
            </w:pPr>
            <w:r>
              <w:t xml:space="preserve">(0.24 kg * 1.0 kgCO2e/kg) + (0.96 kg * -0.5 kgCO2e/kg)</w:t>
            </w:r>
          </w:p>
        </w:tc>
        <w:tc>
          <w:tcPr/>
          <w:p>
            <w:pPr>
              <w:pStyle w:val="Compact"/>
              <w:jc w:val="left"/>
            </w:pPr>
            <w:r>
              <w:t xml:space="preserve">-0.24</w:t>
            </w:r>
          </w:p>
        </w:tc>
      </w:tr>
      <w:tr>
        <w:tc>
          <w:tcPr>
            <w:gridSpan w:val="3"/>
          </w:tcPr>
          <w:p>
            <w:pPr>
              <w:pStyle w:val="Compact"/>
              <w:jc w:val="left"/>
            </w:pPr>
            <w:r>
              <w:rPr>
                <w:bCs/>
                <w:b/>
              </w:rPr>
              <w:t xml:space="preserve">Total Product Carbon Footprint (PCF)</w:t>
            </w:r>
          </w:p>
        </w:tc>
        <w:tc>
          <w:tcPr/>
          <w:p>
            <w:pPr>
              <w:pStyle w:val="Compact"/>
              <w:jc w:val="left"/>
            </w:pPr>
            <w:r>
              <w:rPr>
                <w:bCs/>
                <w:b/>
              </w:rPr>
              <w:t xml:space="preserve">29.705</w:t>
            </w:r>
          </w:p>
        </w:tc>
      </w:tr>
    </w:tbl>
    <w:bookmarkEnd w:id="34"/>
    <w:bookmarkStart w:id="35" w:name="ghg-protocol-scopes-summary"/>
    <w:p>
      <w:pPr>
        <w:pStyle w:val="Heading3"/>
      </w:pPr>
      <w:r>
        <w:t xml:space="preserve">4.2. GHG Protocol Scopes Summary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(kgCO2e)</w:t>
            </w:r>
          </w:p>
        </w:tc>
        <w:tc>
          <w:tcPr/>
          <w:p>
            <w:pPr>
              <w:pStyle w:val="Compact"/>
              <w:jc w:val="left"/>
            </w:pPr>
            <w:r>
              <w:t xml:space="preserve">Percentage of Total PCF</w:t>
            </w:r>
          </w:p>
        </w:tc>
      </w:tr>
      <w:tr>
        <w:tc>
          <w:tcPr/>
          <w:p>
            <w:pPr>
              <w:pStyle w:val="Compact"/>
              <w:jc w:val="left"/>
            </w:pPr>
            <w:r>
              <w:t xml:space="preserve">Scope 1</w:t>
            </w:r>
          </w:p>
        </w:tc>
        <w:tc>
          <w:tcPr/>
          <w:p>
            <w:pPr>
              <w:pStyle w:val="Compact"/>
              <w:jc w:val="left"/>
            </w:pPr>
            <w:r>
              <w:t xml:space="preserve">Direct emissions from owned or controlled sources.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Indirect emissions from the generation of purchased energy (e.g., electricity).</w:t>
            </w:r>
          </w:p>
        </w:tc>
        <w:tc>
          <w:tcPr/>
          <w:p>
            <w:pPr>
              <w:pStyle w:val="Compact"/>
              <w:jc w:val="left"/>
            </w:pPr>
            <w:r>
              <w:t xml:space="preserve">1.545</w:t>
            </w:r>
          </w:p>
        </w:tc>
        <w:tc>
          <w:tcPr/>
          <w:p>
            <w:pPr>
              <w:pStyle w:val="Compact"/>
              <w:jc w:val="left"/>
            </w:pPr>
            <w:r>
              <w:t xml:space="preserve">5.20%</w:t>
            </w:r>
          </w:p>
        </w:tc>
      </w:tr>
      <w:tr>
        <w:tc>
          <w:tcPr/>
          <w:p>
            <w:pPr>
              <w:pStyle w:val="Compact"/>
              <w:jc w:val="left"/>
            </w:pPr>
            <w:r>
              <w:t xml:space="preserve">Scope 3</w:t>
            </w:r>
          </w:p>
        </w:tc>
        <w:tc>
          <w:tcPr/>
          <w:p>
            <w:pPr>
              <w:pStyle w:val="Compact"/>
              <w:jc w:val="left"/>
            </w:pPr>
            <w:r>
              <w:t xml:space="preserve">All other indirect emissions in the value chain (upstream &amp; downstream).</w:t>
            </w:r>
          </w:p>
        </w:tc>
        <w:tc>
          <w:tcPr/>
          <w:p>
            <w:pPr>
              <w:pStyle w:val="Compact"/>
              <w:jc w:val="left"/>
            </w:pPr>
            <w:r>
              <w:t xml:space="preserve">28.16</w:t>
            </w:r>
          </w:p>
        </w:tc>
        <w:tc>
          <w:tcPr/>
          <w:p>
            <w:pPr>
              <w:pStyle w:val="Compact"/>
              <w:jc w:val="left"/>
            </w:pPr>
            <w:r>
              <w:t xml:space="preserve">94.80%</w:t>
            </w:r>
          </w:p>
        </w:tc>
      </w:tr>
      <w:tr>
        <w:tc>
          <w:tcPr>
            <w:gridSpan w:val="2"/>
          </w:tcPr>
          <w:p>
            <w:pPr>
              <w:pStyle w:val="Compact"/>
              <w:jc w:val="left"/>
            </w:pPr>
            <w:r>
              <w:rPr>
                <w:bCs/>
                <w:b/>
              </w:rPr>
              <w:t xml:space="preserve">Total PCF</w:t>
            </w:r>
          </w:p>
        </w:tc>
        <w:tc>
          <w:tcPr/>
          <w:p>
            <w:pPr>
              <w:pStyle w:val="Compact"/>
              <w:jc w:val="left"/>
            </w:pPr>
            <w:r>
              <w:rPr>
                <w:bCs/>
                <w:b/>
              </w:rPr>
              <w:t xml:space="preserve">29.705</w:t>
            </w:r>
          </w:p>
        </w:tc>
        <w:tc>
          <w:tcPr/>
          <w:p>
            <w:pPr>
              <w:pStyle w:val="Compact"/>
              <w:jc w:val="left"/>
            </w:pPr>
            <w:r>
              <w:rPr>
                <w:bCs/>
                <w:b/>
              </w:rPr>
              <w:t xml:space="preserve">100.00%</w:t>
            </w:r>
          </w:p>
        </w:tc>
      </w:tr>
    </w:tbl>
    <w:bookmarkEnd w:id="35"/>
    <w:bookmarkStart w:id="36" w:name="lsr-update-application"/>
    <w:p>
      <w:pPr>
        <w:pStyle w:val="Heading3"/>
      </w:pPr>
      <w:r>
        <w:t xml:space="preserve">4.3. 2026 LSR Update Application</w:t>
      </w:r>
    </w:p>
    <w:p>
      <w:pPr>
        <w:pStyle w:val="FirstParagraph"/>
      </w:pPr>
      <w:r>
        <w:t xml:space="preserve">The GHG Protocol\'s Land Sector and Removals (LSR) Standard was released on January 30, 2026, and is set to take effect on January 1, 2027. This standard provides accounting requirements for entities with significant land sector activities and those reporting CO2 removals or capture. For this PCF analysis of dygsmyvlte, explicit land-use change or biogenic carbon removal data were not provided in the parameters. However, the \'Total Carbon\' values in the BOM for materials such as cardboard (packaging) implicitly account for land-use impacts if the emission factor used incorporates biogenic carbon or land-use change effects relevant to its production. For a fully compliant 2027 report, any direct or indirect land sector emissions or removals associated with the product\'s value chain, especially agricultural inputs if applicable, would need to be quantified according to the LSR Standard\'s specific requirements.</w:t>
      </w:r>
    </w:p>
    <w:bookmarkEnd w:id="36"/>
    <w:bookmarkStart w:id="37" w:name="scope-3-compliance-95-coverage"/>
    <w:p>
      <w:pPr>
        <w:pStyle w:val="Heading3"/>
      </w:pPr>
      <w:r>
        <w:t xml:space="preserve">4.4. Scope 3 Compliance (95% Coverage)</w:t>
      </w:r>
    </w:p>
    <w:p>
      <w:pPr>
        <w:pStyle w:val="FirstParagraph"/>
      </w:pPr>
      <w:r>
        <w:t xml:space="preserve">The proposed 2026 revisions to the GHG Protocol Scope 3 Standard emphasize a mandatory 95% coverage threshold for total relevant Scope 3 emissions. This analysis of dygsmyvlte addresses major Scope 3 categories including purchased goods and services (materials), upstream and downstream transportation, use of sold products, and end-of-life treatment. These categories typically represent the most significant contributions to a product\'s value chain emissions. By covering these comprehensive stages, this report aims to achieve robust Scope 3 coverage, aligning with the intent of the 95% compliance requirement for a high-detail assessment.</w:t>
      </w:r>
    </w:p>
    <w:bookmarkEnd w:id="37"/>
    <w:bookmarkEnd w:id="38"/>
    <w:p>
      <w:r>
        <w:pict>
          <v:rect style="width:0;height:1.5pt" o:hralign="center" o:hrstd="t" o:hr="t"/>
        </w:pict>
      </w:r>
    </w:p>
    <w:bookmarkStart w:id="42" w:name="review-report"/>
    <w:p>
      <w:pPr>
        <w:pStyle w:val="Heading2"/>
      </w:pPr>
      <w:r>
        <w:t xml:space="preserve">5. Review &amp; Report</w:t>
      </w:r>
    </w:p>
    <w:bookmarkStart w:id="39" w:name="emission-hotspots"/>
    <w:p>
      <w:pPr>
        <w:pStyle w:val="Heading3"/>
      </w:pPr>
      <w:r>
        <w:t xml:space="preserve">5.1. Emission Hotspots</w:t>
      </w:r>
    </w:p>
    <w:p>
      <w:pPr>
        <w:pStyle w:val="FirstParagraph"/>
      </w:pPr>
      <w:r>
        <w:t xml:space="preserve">The analysis identifies the following primary emission hotspots for dygsmyvlte:</w:t>
      </w:r>
    </w:p>
    <w:p>
      <w:pPr>
        <w:numPr>
          <w:ilvl w:val="0"/>
          <w:numId w:val="1010"/>
        </w:numPr>
        <w:pStyle w:val="Compact"/>
      </w:pPr>
      <w:r>
        <w:rPr>
          <w:bCs/>
          <w:b/>
        </w:rPr>
        <w:t xml:space="preserve">Use Phase (</w:t>
      </w:r>
      <w:r>
        <w:rPr>
          <w:bCs/>
          <w:b/>
        </w:rPr>
        <w:t xml:space="preserve">Scope 3</w:t>
      </w:r>
      <w:r>
        <w:rPr>
          <w:bCs/>
          <w:b/>
        </w:rPr>
        <w:t xml:space="preserve">):</w:t>
      </w:r>
      <w:r>
        <w:t xml:space="preserve"> </w:t>
      </w:r>
      <w:r>
        <w:t xml:space="preserve">At 15.00 kgCO2e, the energy consumption during the 5-year lifespan of the product represents the largest single contributor to its carbon footprint (approximately 50.5% of the total). This is driven by the assumed energy consumption of 10 kWh/year and the average European grid electricity mix.</w:t>
      </w:r>
    </w:p>
    <w:p>
      <w:pPr>
        <w:numPr>
          <w:ilvl w:val="0"/>
          <w:numId w:val="1010"/>
        </w:numPr>
        <w:pStyle w:val="Compact"/>
      </w:pPr>
      <w:r>
        <w:rPr>
          <w:bCs/>
          <w:b/>
        </w:rPr>
        <w:t xml:space="preserve">Material Acquisition &amp; Pre-processing (</w:t>
      </w:r>
      <w:r>
        <w:rPr>
          <w:bCs/>
          <w:b/>
        </w:rPr>
        <w:t xml:space="preserve">Scope 3</w:t>
      </w:r>
      <w:r>
        <w:rPr>
          <w:bCs/>
          <w:b/>
        </w:rPr>
        <w:t xml:space="preserve">):</w:t>
      </w:r>
      <w:r>
        <w:t xml:space="preserve"> </w:t>
      </w:r>
      <w:r>
        <w:t xml:space="preserve">The raw materials, particularly the lithium-ion battery (4.00 kgCO2e), aluminum casing (5.00 kgCO2e), and PCB (1.50 kgCO2e), contribute significantly with a combined 11.65 kgCO2e (approximately 39.2% of the total PCF). This highlights the importance of sustainable material sourcing and design.</w:t>
      </w:r>
    </w:p>
    <w:p>
      <w:pPr>
        <w:numPr>
          <w:ilvl w:val="0"/>
          <w:numId w:val="1010"/>
        </w:numPr>
        <w:pStyle w:val="Compact"/>
      </w:pPr>
      <w:r>
        <w:rPr>
          <w:bCs/>
          <w:b/>
        </w:rPr>
        <w:t xml:space="preserve">Manufacturing (</w:t>
      </w:r>
      <w:r>
        <w:rPr>
          <w:bCs/>
          <w:b/>
        </w:rPr>
        <w:t xml:space="preserve">Scope 2</w:t>
      </w:r>
      <w:r>
        <w:rPr>
          <w:bCs/>
          <w:b/>
        </w:rPr>
        <w:t xml:space="preserve">):</w:t>
      </w:r>
      <w:r>
        <w:t xml:space="preserve"> </w:t>
      </w:r>
      <w:r>
        <w:t xml:space="preserve">Despite 60% renewable energy usage, the remaining 40% from the China grid, combined with the energy intensity of 5.0 kWh/unit, results in 1.545 kgCO2e (5.20% of total). Further decarbonization of the energy grid in China or increased on-site renewables would reduce this.</w:t>
      </w:r>
    </w:p>
    <w:bookmarkEnd w:id="39"/>
    <w:bookmarkStart w:id="40" w:name="reliability-and-data-quality"/>
    <w:p>
      <w:pPr>
        <w:pStyle w:val="Heading3"/>
      </w:pPr>
      <w:r>
        <w:t xml:space="preserve">5.2. Reliability and Data Quality</w:t>
      </w:r>
    </w:p>
    <w:p>
      <w:pPr>
        <w:pStyle w:val="FirstParagraph"/>
      </w:pPr>
      <w:r>
        <w:t xml:space="preserve">The reliability of this PCF analysis is directly linked to the quality of the input data. While the methodology adheres to GHG Protocol standards, the specific numerical results in this report are illustrative, given that several input parameters were provided as placeholders and required assumptions for numerical values.</w:t>
      </w:r>
    </w:p>
    <w:p>
      <w:pPr>
        <w:numPr>
          <w:ilvl w:val="0"/>
          <w:numId w:val="1011"/>
        </w:numPr>
        <w:pStyle w:val="Compact"/>
      </w:pPr>
      <w:r>
        <w:rPr>
          <w:bCs/>
          <w:b/>
        </w:rPr>
        <w:t xml:space="preserve">Strengths:</w:t>
      </w:r>
      <w:r>
        <w:t xml:space="preserve"> </w:t>
      </w:r>
      <w:r>
        <w:t xml:space="preserve">Adherence to GHG Protocol methodology, detailed BOM integration, comprehensive lifecycle coverage (cradle-to-grave), and consideration of circular economy aspects.</w:t>
      </w:r>
    </w:p>
    <w:p>
      <w:pPr>
        <w:numPr>
          <w:ilvl w:val="0"/>
          <w:numId w:val="1011"/>
        </w:numPr>
        <w:pStyle w:val="Compact"/>
      </w:pPr>
      <w:r>
        <w:rPr>
          <w:bCs/>
          <w:b/>
        </w:rPr>
        <w:t xml:space="preserve">Limitations:</w:t>
      </w:r>
      <w:r>
        <w:t xml:space="preserve"> </w:t>
      </w:r>
      <w:r>
        <w:t xml:space="preserve">Reliance on assumed numeric values for placeholders (e.g., transport distance, energy consumption, recyclability percentage) and secondary (industry average) emission factors. Primary, supplier-specific data for all inputs would enhance accuracy significantly.</w:t>
      </w:r>
    </w:p>
    <w:p>
      <w:pPr>
        <w:pStyle w:val="FirstParagraph"/>
      </w:pPr>
      <w:r>
        <w:t xml:space="preserve">To improve the reliability of future assessments, it is recommended that</w:t>
      </w:r>
      <w:r>
        <w:t xml:space="preserve"> </w:t>
      </w:r>
      <w:r>
        <w:rPr>
          <w:bCs/>
          <w:b/>
        </w:rPr>
        <w:t xml:space="preserve">lkfwyjfmuh</w:t>
      </w:r>
      <w:r>
        <w:t xml:space="preserve"> </w:t>
      </w:r>
      <w:r>
        <w:t xml:space="preserve">collects primary data for actual transport distances, specific energy consumption at manufacturing facilities, and verified emission factors from their material suppliers.</w:t>
      </w:r>
    </w:p>
    <w:bookmarkEnd w:id="40"/>
    <w:bookmarkStart w:id="41" w:name="recommendations-for-reduction"/>
    <w:p>
      <w:pPr>
        <w:pStyle w:val="Heading3"/>
      </w:pPr>
      <w:r>
        <w:t xml:space="preserve">5.3. Recommendations for Reduction</w:t>
      </w:r>
    </w:p>
    <w:p>
      <w:pPr>
        <w:numPr>
          <w:ilvl w:val="0"/>
          <w:numId w:val="1012"/>
        </w:numPr>
        <w:pStyle w:val="Compact"/>
      </w:pPr>
      <w:r>
        <w:rPr>
          <w:bCs/>
          <w:b/>
        </w:rPr>
        <w:t xml:space="preserve">Optimize Use Phase:</w:t>
      </w:r>
      <w:r>
        <w:t xml:space="preserve"> </w:t>
      </w:r>
      <w:r>
        <w:t xml:space="preserve">Invest in product design for energy efficiency to reduce energy consumption during the</w:t>
      </w:r>
      <w:r>
        <w:t xml:space="preserve"> </w:t>
      </w:r>
      <w:r>
        <w:rPr>
          <w:bCs/>
          <w:b/>
        </w:rPr>
        <w:t xml:space="preserve">eyjwiedjfh</w:t>
      </w:r>
      <w:r>
        <w:t xml:space="preserve"> </w:t>
      </w:r>
      <w:r>
        <w:t xml:space="preserve">(5 years) lifespan of</w:t>
      </w:r>
      <w:r>
        <w:t xml:space="preserve"> </w:t>
      </w:r>
      <w:r>
        <w:rPr>
          <w:bCs/>
          <w:b/>
        </w:rPr>
        <w:t xml:space="preserve">dygsmyvlte</w:t>
      </w:r>
      <w:r>
        <w:t xml:space="preserve">. Explore shifting energy demand to regions with lower grid emission factors if applicable to product usage.</w:t>
      </w:r>
    </w:p>
    <w:p>
      <w:pPr>
        <w:numPr>
          <w:ilvl w:val="0"/>
          <w:numId w:val="1012"/>
        </w:numPr>
        <w:pStyle w:val="Compact"/>
      </w:pPr>
      <w:r>
        <w:rPr>
          <w:bCs/>
          <w:b/>
        </w:rPr>
        <w:t xml:space="preserve">Sustainable Material Sourcing:</w:t>
      </w:r>
      <w:r>
        <w:t xml:space="preserve"> </w:t>
      </w:r>
      <w:r>
        <w:t xml:space="preserve">Investigate alternative materials with lower embedded carbon footprints, particularly for the aluminum casing, ABS plastic, PCB, and lithium-ion battery. Prioritize suppliers with transparent, low-carbon production processes.</w:t>
      </w:r>
    </w:p>
    <w:p>
      <w:pPr>
        <w:numPr>
          <w:ilvl w:val="0"/>
          <w:numId w:val="1012"/>
        </w:numPr>
        <w:pStyle w:val="Compact"/>
      </w:pPr>
      <w:r>
        <w:rPr>
          <w:bCs/>
          <w:b/>
        </w:rPr>
        <w:t xml:space="preserve">Increase Renewable Energy in Manufacturing:</w:t>
      </w:r>
      <w:r>
        <w:t xml:space="preserve"> </w:t>
      </w:r>
      <w:r>
        <w:t xml:space="preserve">Further increase the share of renewable energy beyond</w:t>
      </w:r>
      <w:r>
        <w:t xml:space="preserve"> </w:t>
      </w:r>
      <w:r>
        <w:rPr>
          <w:bCs/>
          <w:b/>
        </w:rPr>
        <w:t xml:space="preserve">gtsemzxvni</w:t>
      </w:r>
      <w:r>
        <w:t xml:space="preserve"> </w:t>
      </w:r>
      <w:r>
        <w:t xml:space="preserve">(60%) at the manufacturing facility in China, or explore offsetting options for the remaining grid electricity.</w:t>
      </w:r>
    </w:p>
    <w:p>
      <w:pPr>
        <w:numPr>
          <w:ilvl w:val="0"/>
          <w:numId w:val="1012"/>
        </w:numPr>
        <w:pStyle w:val="Compact"/>
      </w:pPr>
      <w:r>
        <w:rPr>
          <w:bCs/>
          <w:b/>
        </w:rPr>
        <w:t xml:space="preserve">Optimize Logistics:</w:t>
      </w:r>
      <w:r>
        <w:t xml:space="preserve"> </w:t>
      </w:r>
      <w:r>
        <w:t xml:space="preserve">Evaluate opportunities to reduce transport distances (</w:t>
      </w:r>
      <w:r>
        <w:rPr>
          <w:bCs/>
          <w:b/>
        </w:rPr>
        <w:t xml:space="preserve">jtxlpjpmyn</w:t>
      </w:r>
      <w:r>
        <w:t xml:space="preserve">) and shift to lower-emission transport modes where feasible, especially for long-haul routes.</w:t>
      </w:r>
    </w:p>
    <w:p>
      <w:pPr>
        <w:numPr>
          <w:ilvl w:val="0"/>
          <w:numId w:val="1012"/>
        </w:numPr>
        <w:pStyle w:val="Compact"/>
      </w:pPr>
      <w:r>
        <w:rPr>
          <w:bCs/>
          <w:b/>
        </w:rPr>
        <w:t xml:space="preserve">Enhance Circularity:</w:t>
      </w:r>
      <w:r>
        <w:t xml:space="preserve"> </w:t>
      </w:r>
      <w:r>
        <w:t xml:space="preserve">Continue to strengthen circular/take-back programs (</w:t>
      </w:r>
      <w:r>
        <w:rPr>
          <w:bCs/>
          <w:b/>
        </w:rPr>
        <w:t xml:space="preserve">nyhpxthjow</w:t>
      </w:r>
      <w:r>
        <w:t xml:space="preserve">) and explore design for disassembly and material recovery to further increase recyclability beyond</w:t>
      </w:r>
      <w:r>
        <w:t xml:space="preserve"> </w:t>
      </w:r>
      <w:r>
        <w:rPr>
          <w:bCs/>
          <w:b/>
        </w:rPr>
        <w:t xml:space="preserve">simxeumouv</w:t>
      </w:r>
      <w:r>
        <w:t xml:space="preserve"> </w:t>
      </w:r>
      <w:r>
        <w:t xml:space="preserve">(80%), maximizing end-of-life benefits.</w:t>
      </w:r>
    </w:p>
    <w:bookmarkEnd w:id="41"/>
    <w:bookmarkEnd w:id="42"/>
    <w:p>
      <w:r>
        <w:pict>
          <v:rect style="width:0;height:1.5pt" o:hralign="center" o:hrstd="t" o:hr="t"/>
        </w:pict>
      </w:r>
    </w:p>
    <w:bookmarkStart w:id="43" w:name="Xad38feba00f13f0c7f37fded60d3f23f538c81a"/>
    <w:p>
      <w:pPr>
        <w:pStyle w:val="Heading2"/>
      </w:pPr>
      <w:r>
        <w:t xml:space="preserve">Appendix: Assumptions and Emission Factors (Illustrative)</w:t>
      </w:r>
    </w:p>
    <w:p>
      <w:pPr>
        <w:pStyle w:val="FirstParagraph"/>
      </w:pPr>
      <w:r>
        <w:t xml:space="preserve">The following emission factors and specific numerical assumptions were used for calculations based on the provided placeholder parameters. These are illustrative, drawing from general industry databases (e.g., Ecoinvent/DEFRA equivalents) where specific values were not provided.</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 / Activity</w:t>
            </w:r>
          </w:p>
        </w:tc>
        <w:tc>
          <w:tcPr/>
          <w:p>
            <w:pPr>
              <w:pStyle w:val="Compact"/>
              <w:jc w:val="left"/>
            </w:pPr>
            <w:r>
              <w:t xml:space="preserve">Assumed Value / Emission Factor</w:t>
            </w:r>
          </w:p>
        </w:tc>
        <w:tc>
          <w:tcPr/>
          <w:p>
            <w:pPr>
              <w:pStyle w:val="Compact"/>
              <w:jc w:val="left"/>
            </w:pPr>
            <w:r>
              <w:t xml:space="preserve">Unit</w:t>
            </w:r>
          </w:p>
        </w:tc>
        <w:tc>
          <w:tcPr/>
          <w:p>
            <w:pPr>
              <w:pStyle w:val="Compact"/>
              <w:jc w:val="left"/>
            </w:pPr>
            <w:r>
              <w:t xml:space="preserve">Source / Rationale</w:t>
            </w:r>
          </w:p>
        </w:tc>
      </w:tr>
      <w:tr>
        <w:tc>
          <w:tcPr/>
          <w:p>
            <w:pPr>
              <w:pStyle w:val="Compact"/>
              <w:jc w:val="left"/>
            </w:pPr>
            <w:r>
              <w:t xml:space="preserve">Product Mass</w:t>
            </w:r>
          </w:p>
        </w:tc>
        <w:tc>
          <w:tcPr/>
          <w:p>
            <w:pPr>
              <w:pStyle w:val="Compact"/>
              <w:jc w:val="left"/>
            </w:pPr>
            <w:r>
              <w:t xml:space="preserve">1.2</w:t>
            </w:r>
          </w:p>
        </w:tc>
        <w:tc>
          <w:tcPr/>
          <w:p>
            <w:pPr>
              <w:pStyle w:val="Compact"/>
              <w:jc w:val="left"/>
            </w:pPr>
            <w:r>
              <w:t xml:space="preserve">kg</w:t>
            </w:r>
          </w:p>
        </w:tc>
        <w:tc>
          <w:tcPr/>
          <w:p>
            <w:pPr>
              <w:pStyle w:val="Compact"/>
              <w:jc w:val="left"/>
            </w:pPr>
            <w:r>
              <w:t xml:space="preserve">Sum of \'Qty\' in BOM (materials + packaging)</w:t>
            </w:r>
          </w:p>
        </w:tc>
      </w:tr>
      <w:tr>
        <w:tc>
          <w:tcPr/>
          <w:p>
            <w:pPr>
              <w:pStyle w:val="Compact"/>
              <w:jc w:val="left"/>
            </w:pPr>
            <w:r>
              <w:t xml:space="preserve">Manufacturing Energy Intensity</w:t>
            </w:r>
          </w:p>
        </w:tc>
        <w:tc>
          <w:tcPr/>
          <w:p>
            <w:pPr>
              <w:pStyle w:val="Compact"/>
              <w:jc w:val="left"/>
            </w:pPr>
            <w:r>
              <w:t xml:space="preserve">5.0</w:t>
            </w:r>
          </w:p>
        </w:tc>
        <w:tc>
          <w:tcPr/>
          <w:p>
            <w:pPr>
              <w:pStyle w:val="Compact"/>
              <w:jc w:val="left"/>
            </w:pPr>
            <w:r>
              <w:t xml:space="preserve">kWh/unit</w:t>
            </w:r>
          </w:p>
        </w:tc>
        <w:tc>
          <w:tcPr/>
          <w:p>
            <w:pPr>
              <w:pStyle w:val="Compact"/>
              <w:jc w:val="left"/>
            </w:pPr>
            <w:r>
              <w:t xml:space="preserve">Assumed from placeholder jwpmnzemmo</w:t>
            </w:r>
          </w:p>
        </w:tc>
      </w:tr>
      <w:tr>
        <w:tc>
          <w:tcPr/>
          <w:p>
            <w:pPr>
              <w:pStyle w:val="Compact"/>
              <w:jc w:val="left"/>
            </w:pPr>
            <w:r>
              <w:t xml:space="preserve">Renewable Energy Usage (Manufacturing)</w:t>
            </w:r>
          </w:p>
        </w:tc>
        <w:tc>
          <w:tcPr/>
          <w:p>
            <w:pPr>
              <w:pStyle w:val="Compact"/>
              <w:jc w:val="left"/>
            </w:pPr>
            <w:r>
              <w:t xml:space="preserve">60%</w:t>
            </w:r>
          </w:p>
        </w:tc>
        <w:tc>
          <w:tcPr/>
          <w:p>
            <w:pPr>
              <w:pStyle w:val="Compact"/>
              <w:jc w:val="left"/>
            </w:pPr>
            <w:r>
              <w:t xml:space="preserve">%</w:t>
            </w:r>
          </w:p>
        </w:tc>
        <w:tc>
          <w:tcPr/>
          <w:p>
            <w:pPr>
              <w:pStyle w:val="Compact"/>
              <w:jc w:val="left"/>
            </w:pPr>
            <w:r>
              <w:t xml:space="preserve">Assumed from placeholder gtsemzxvni</w:t>
            </w:r>
          </w:p>
        </w:tc>
      </w:tr>
      <w:tr>
        <w:tc>
          <w:tcPr/>
          <w:p>
            <w:pPr>
              <w:pStyle w:val="Compact"/>
              <w:jc w:val="left"/>
            </w:pPr>
            <w:r>
              <w:t xml:space="preserve">China Grid Electricity EF (Manufacturing)</w:t>
            </w:r>
          </w:p>
        </w:tc>
        <w:tc>
          <w:tcPr/>
          <w:p>
            <w:pPr>
              <w:pStyle w:val="Compact"/>
              <w:jc w:val="left"/>
            </w:pPr>
            <w:r>
              <w:t xml:space="preserve">0.75</w:t>
            </w:r>
          </w:p>
        </w:tc>
        <w:tc>
          <w:tcPr/>
          <w:p>
            <w:pPr>
              <w:pStyle w:val="Compact"/>
              <w:jc w:val="left"/>
            </w:pPr>
            <w:r>
              <w:t xml:space="preserve">kgCO2e/kWh</w:t>
            </w:r>
          </w:p>
        </w:tc>
        <w:tc>
          <w:tcPr/>
          <w:p>
            <w:pPr>
              <w:pStyle w:val="Compact"/>
              <w:jc w:val="left"/>
            </w:pPr>
            <w:r>
              <w:t xml:space="preserve">Average for coal-dominant grid in China</w:t>
            </w:r>
          </w:p>
        </w:tc>
      </w:tr>
      <w:tr>
        <w:tc>
          <w:tcPr/>
          <w:p>
            <w:pPr>
              <w:pStyle w:val="Compact"/>
              <w:jc w:val="left"/>
            </w:pPr>
            <w:r>
              <w:t xml:space="preserve">Renewable Electricity EF (Residual)</w:t>
            </w:r>
          </w:p>
        </w:tc>
        <w:tc>
          <w:tcPr/>
          <w:p>
            <w:pPr>
              <w:pStyle w:val="Compact"/>
              <w:jc w:val="left"/>
            </w:pPr>
            <w:r>
              <w:t xml:space="preserve">0.015</w:t>
            </w:r>
          </w:p>
        </w:tc>
        <w:tc>
          <w:tcPr/>
          <w:p>
            <w:pPr>
              <w:pStyle w:val="Compact"/>
              <w:jc w:val="left"/>
            </w:pPr>
            <w:r>
              <w:t xml:space="preserve">kgCO2e/kWh</w:t>
            </w:r>
          </w:p>
        </w:tc>
        <w:tc>
          <w:tcPr/>
          <w:p>
            <w:pPr>
              <w:pStyle w:val="Compact"/>
              <w:jc w:val="left"/>
            </w:pPr>
            <w:r>
              <w:t xml:space="preserve">Industry average for residual emissions from renewables</w:t>
            </w:r>
          </w:p>
        </w:tc>
      </w:tr>
      <w:tr>
        <w:tc>
          <w:tcPr/>
          <w:p>
            <w:pPr>
              <w:pStyle w:val="Compact"/>
              <w:jc w:val="left"/>
            </w:pPr>
            <w:r>
              <w:t xml:space="preserve">Inbound Transport Distance</w:t>
            </w:r>
          </w:p>
        </w:tc>
        <w:tc>
          <w:tcPr/>
          <w:p>
            <w:pPr>
              <w:pStyle w:val="Compact"/>
              <w:jc w:val="left"/>
            </w:pPr>
            <w:r>
              <w:t xml:space="preserve">3,000</w:t>
            </w:r>
          </w:p>
        </w:tc>
        <w:tc>
          <w:tcPr/>
          <w:p>
            <w:pPr>
              <w:pStyle w:val="Compact"/>
              <w:jc w:val="left"/>
            </w:pPr>
            <w:r>
              <w:t xml:space="preserve">km</w:t>
            </w:r>
          </w:p>
        </w:tc>
        <w:tc>
          <w:tcPr/>
          <w:p>
            <w:pPr>
              <w:pStyle w:val="Compact"/>
              <w:jc w:val="left"/>
            </w:pPr>
            <w:r>
              <w:t xml:space="preserve">Assumed from placeholder jtxlpjpmyn</w:t>
            </w:r>
          </w:p>
        </w:tc>
      </w:tr>
      <w:tr>
        <w:tc>
          <w:tcPr/>
          <w:p>
            <w:pPr>
              <w:pStyle w:val="Compact"/>
              <w:jc w:val="left"/>
            </w:pPr>
            <w:r>
              <w:t xml:space="preserve">Outbound Transport Distance (Factory to Market)</w:t>
            </w:r>
          </w:p>
        </w:tc>
        <w:tc>
          <w:tcPr/>
          <w:p>
            <w:pPr>
              <w:pStyle w:val="Compact"/>
              <w:jc w:val="left"/>
            </w:pPr>
            <w:r>
              <w:t xml:space="preserve">10,000</w:t>
            </w:r>
          </w:p>
        </w:tc>
        <w:tc>
          <w:tcPr/>
          <w:p>
            <w:pPr>
              <w:pStyle w:val="Compact"/>
              <w:jc w:val="left"/>
            </w:pPr>
            <w:r>
              <w:t xml:space="preserve">km</w:t>
            </w:r>
          </w:p>
        </w:tc>
        <w:tc>
          <w:tcPr/>
          <w:p>
            <w:pPr>
              <w:pStyle w:val="Compact"/>
              <w:jc w:val="left"/>
            </w:pPr>
            <w:r>
              <w:t xml:space="preserve">Assumed from placeholder jtxlpjpmyn</w:t>
            </w:r>
          </w:p>
        </w:tc>
      </w:tr>
      <w:tr>
        <w:tc>
          <w:tcPr/>
          <w:p>
            <w:pPr>
              <w:pStyle w:val="Compact"/>
              <w:jc w:val="left"/>
            </w:pPr>
            <w:r>
              <w:t xml:space="preserve">Last-Mile Delivery Distance</w:t>
            </w:r>
          </w:p>
        </w:tc>
        <w:tc>
          <w:tcPr/>
          <w:p>
            <w:pPr>
              <w:pStyle w:val="Compact"/>
              <w:jc w:val="left"/>
            </w:pPr>
            <w:r>
              <w:t xml:space="preserve">500</w:t>
            </w:r>
          </w:p>
        </w:tc>
        <w:tc>
          <w:tcPr/>
          <w:p>
            <w:pPr>
              <w:pStyle w:val="Compact"/>
              <w:jc w:val="left"/>
            </w:pPr>
            <w:r>
              <w:t xml:space="preserve">km</w:t>
            </w:r>
          </w:p>
        </w:tc>
        <w:tc>
          <w:tcPr/>
          <w:p>
            <w:pPr>
              <w:pStyle w:val="Compact"/>
              <w:jc w:val="left"/>
            </w:pPr>
            <w:r>
              <w:t xml:space="preserve">Assumed from placeholder jtxlpjpmyn</w:t>
            </w:r>
          </w:p>
        </w:tc>
      </w:tr>
      <w:tr>
        <w:tc>
          <w:tcPr/>
          <w:p>
            <w:pPr>
              <w:pStyle w:val="Compact"/>
              <w:jc w:val="left"/>
            </w:pPr>
            <w:r>
              <w:t xml:space="preserve">Road Freight EF (Heavy Duty Truck)</w:t>
            </w:r>
          </w:p>
        </w:tc>
        <w:tc>
          <w:tcPr/>
          <w:p>
            <w:pPr>
              <w:pStyle w:val="Compact"/>
              <w:jc w:val="left"/>
            </w:pPr>
            <w:r>
              <w:t xml:space="preserve">0.10</w:t>
            </w:r>
          </w:p>
        </w:tc>
        <w:tc>
          <w:tcPr/>
          <w:p>
            <w:pPr>
              <w:pStyle w:val="Compact"/>
              <w:jc w:val="left"/>
            </w:pPr>
            <w:r>
              <w:t xml:space="preserve">kgCO2e/tonne-km</w:t>
            </w:r>
          </w:p>
        </w:tc>
        <w:tc>
          <w:tcPr/>
          <w:p>
            <w:pPr>
              <w:pStyle w:val="Compact"/>
              <w:jc w:val="left"/>
            </w:pPr>
            <w:r>
              <w:t xml:space="preserve">Industry average for long-haul freight</w:t>
            </w:r>
          </w:p>
        </w:tc>
      </w:tr>
      <w:tr>
        <w:tc>
          <w:tcPr/>
          <w:p>
            <w:pPr>
              <w:pStyle w:val="Compact"/>
              <w:jc w:val="left"/>
            </w:pPr>
            <w:r>
              <w:t xml:space="preserve">Road Freight EF (Light Commercial Vehicle)</w:t>
            </w:r>
          </w:p>
        </w:tc>
        <w:tc>
          <w:tcPr/>
          <w:p>
            <w:pPr>
              <w:pStyle w:val="Compact"/>
              <w:jc w:val="left"/>
            </w:pPr>
            <w:r>
              <w:t xml:space="preserve">0.30</w:t>
            </w:r>
          </w:p>
        </w:tc>
        <w:tc>
          <w:tcPr/>
          <w:p>
            <w:pPr>
              <w:pStyle w:val="Compact"/>
              <w:jc w:val="left"/>
            </w:pPr>
            <w:r>
              <w:t xml:space="preserve">kgCO2e/tonne-km</w:t>
            </w:r>
          </w:p>
        </w:tc>
        <w:tc>
          <w:tcPr/>
          <w:p>
            <w:pPr>
              <w:pStyle w:val="Compact"/>
              <w:jc w:val="left"/>
            </w:pPr>
            <w:r>
              <w:t xml:space="preserve">Industry average for last-mile delivery</w:t>
            </w:r>
          </w:p>
        </w:tc>
      </w:tr>
      <w:tr>
        <w:tc>
          <w:tcPr/>
          <w:p>
            <w:pPr>
              <w:pStyle w:val="Compact"/>
              <w:jc w:val="left"/>
            </w:pPr>
            <w:r>
              <w:t xml:space="preserve">Product Lifespan</w:t>
            </w:r>
          </w:p>
        </w:tc>
        <w:tc>
          <w:tcPr/>
          <w:p>
            <w:pPr>
              <w:pStyle w:val="Compact"/>
              <w:jc w:val="left"/>
            </w:pPr>
            <w:r>
              <w:t xml:space="preserve">5</w:t>
            </w:r>
          </w:p>
        </w:tc>
        <w:tc>
          <w:tcPr/>
          <w:p>
            <w:pPr>
              <w:pStyle w:val="Compact"/>
              <w:jc w:val="left"/>
            </w:pPr>
            <w:r>
              <w:t xml:space="preserve">years</w:t>
            </w:r>
          </w:p>
        </w:tc>
        <w:tc>
          <w:tcPr/>
          <w:p>
            <w:pPr>
              <w:pStyle w:val="Compact"/>
              <w:jc w:val="left"/>
            </w:pPr>
            <w:r>
              <w:t xml:space="preserve">Assumed from placeholder eyjwiedjfh</w:t>
            </w:r>
          </w:p>
        </w:tc>
      </w:tr>
      <w:tr>
        <w:tc>
          <w:tcPr/>
          <w:p>
            <w:pPr>
              <w:pStyle w:val="Compact"/>
              <w:jc w:val="left"/>
            </w:pPr>
            <w:r>
              <w:t xml:space="preserve">Energy Consumption in Use</w:t>
            </w:r>
          </w:p>
        </w:tc>
        <w:tc>
          <w:tcPr/>
          <w:p>
            <w:pPr>
              <w:pStyle w:val="Compact"/>
              <w:jc w:val="left"/>
            </w:pPr>
            <w:r>
              <w:t xml:space="preserve">10</w:t>
            </w:r>
          </w:p>
        </w:tc>
        <w:tc>
          <w:tcPr/>
          <w:p>
            <w:pPr>
              <w:pStyle w:val="Compact"/>
              <w:jc w:val="left"/>
            </w:pPr>
            <w:r>
              <w:t xml:space="preserve">kWh/year</w:t>
            </w:r>
          </w:p>
        </w:tc>
        <w:tc>
          <w:tcPr/>
          <w:p>
            <w:pPr>
              <w:pStyle w:val="Compact"/>
              <w:jc w:val="left"/>
            </w:pPr>
            <w:r>
              <w:t xml:space="preserve">Assumed from placeholder tddjxvmpfw</w:t>
            </w:r>
          </w:p>
        </w:tc>
      </w:tr>
      <w:tr>
        <w:tc>
          <w:tcPr/>
          <w:p>
            <w:pPr>
              <w:pStyle w:val="Compact"/>
              <w:jc w:val="left"/>
            </w:pPr>
            <w:r>
              <w:t xml:space="preserve">Europe Grid Electricity EF (Use Phase)</w:t>
            </w:r>
          </w:p>
        </w:tc>
        <w:tc>
          <w:tcPr/>
          <w:p>
            <w:pPr>
              <w:pStyle w:val="Compact"/>
              <w:jc w:val="left"/>
            </w:pPr>
            <w:r>
              <w:t xml:space="preserve">0.30</w:t>
            </w:r>
          </w:p>
        </w:tc>
        <w:tc>
          <w:tcPr/>
          <w:p>
            <w:pPr>
              <w:pStyle w:val="Compact"/>
              <w:jc w:val="left"/>
            </w:pPr>
            <w:r>
              <w:t xml:space="preserve">kgCO2e/kWh</w:t>
            </w:r>
          </w:p>
        </w:tc>
        <w:tc>
          <w:tcPr/>
          <w:p>
            <w:pPr>
              <w:pStyle w:val="Compact"/>
              <w:jc w:val="left"/>
            </w:pPr>
            <w:r>
              <w:t xml:space="preserve">Average for European grid mix</w:t>
            </w:r>
          </w:p>
        </w:tc>
      </w:tr>
      <w:tr>
        <w:tc>
          <w:tcPr/>
          <w:p>
            <w:pPr>
              <w:pStyle w:val="Compact"/>
              <w:jc w:val="left"/>
            </w:pPr>
            <w:r>
              <w:t xml:space="preserve">Recyclability Percentage</w:t>
            </w:r>
          </w:p>
        </w:tc>
        <w:tc>
          <w:tcPr/>
          <w:p>
            <w:pPr>
              <w:pStyle w:val="Compact"/>
              <w:jc w:val="left"/>
            </w:pPr>
            <w:r>
              <w:t xml:space="preserve">80%</w:t>
            </w:r>
          </w:p>
        </w:tc>
        <w:tc>
          <w:tcPr/>
          <w:p>
            <w:pPr>
              <w:pStyle w:val="Compact"/>
              <w:jc w:val="left"/>
            </w:pPr>
            <w:r>
              <w:t xml:space="preserve">%</w:t>
            </w:r>
          </w:p>
        </w:tc>
        <w:tc>
          <w:tcPr/>
          <w:p>
            <w:pPr>
              <w:pStyle w:val="Compact"/>
              <w:jc w:val="left"/>
            </w:pPr>
            <w:r>
              <w:t xml:space="preserve">Assumed from placeholder simxeumouv</w:t>
            </w:r>
          </w:p>
        </w:tc>
      </w:tr>
      <w:tr>
        <w:tc>
          <w:tcPr/>
          <w:p>
            <w:pPr>
              <w:pStyle w:val="Compact"/>
              <w:jc w:val="left"/>
            </w:pPr>
            <w:r>
              <w:t xml:space="preserve">End-of-Life EF (Landfill)</w:t>
            </w:r>
          </w:p>
        </w:tc>
        <w:tc>
          <w:tcPr/>
          <w:p>
            <w:pPr>
              <w:pStyle w:val="Compact"/>
              <w:jc w:val="left"/>
            </w:pPr>
            <w:r>
              <w:t xml:space="preserve">1.0</w:t>
            </w:r>
          </w:p>
        </w:tc>
        <w:tc>
          <w:tcPr/>
          <w:p>
            <w:pPr>
              <w:pStyle w:val="Compact"/>
              <w:jc w:val="left"/>
            </w:pPr>
            <w:r>
              <w:t xml:space="preserve">kgCO2e/kg</w:t>
            </w:r>
          </w:p>
        </w:tc>
        <w:tc>
          <w:tcPr/>
          <w:p>
            <w:pPr>
              <w:pStyle w:val="Compact"/>
              <w:jc w:val="left"/>
            </w:pPr>
            <w:r>
              <w:t xml:space="preserve">General mixed waste landfill emission factor</w:t>
            </w:r>
          </w:p>
        </w:tc>
      </w:tr>
      <w:tr>
        <w:tc>
          <w:tcPr/>
          <w:p>
            <w:pPr>
              <w:pStyle w:val="Compact"/>
              <w:jc w:val="left"/>
            </w:pPr>
            <w:r>
              <w:t xml:space="preserve">End-of-Life EF (Recycling Credit)</w:t>
            </w:r>
          </w:p>
        </w:tc>
        <w:tc>
          <w:tcPr/>
          <w:p>
            <w:pPr>
              <w:pStyle w:val="Compact"/>
              <w:jc w:val="left"/>
            </w:pPr>
            <w:r>
              <w:t xml:space="preserve">-0.5</w:t>
            </w:r>
          </w:p>
        </w:tc>
        <w:tc>
          <w:tcPr/>
          <w:p>
            <w:pPr>
              <w:pStyle w:val="Compact"/>
              <w:jc w:val="left"/>
            </w:pPr>
            <w:r>
              <w:t xml:space="preserve">kgCO2e/kg</w:t>
            </w:r>
          </w:p>
        </w:tc>
        <w:tc>
          <w:tcPr/>
          <w:p>
            <w:pPr>
              <w:pStyle w:val="Compact"/>
              <w:jc w:val="left"/>
            </w:pPr>
            <w:r>
              <w:t xml:space="preserve">General material recycling benefit/credit</w:t>
            </w:r>
          </w:p>
        </w:tc>
      </w:tr>
    </w:tbl>
    <w:bookmarkEnd w:id="43"/>
    <w:p>
      <w:pPr>
        <w:pStyle w:val="BodyText"/>
      </w:pPr>
      <w:r>
        <w:t xml:space="preserve">Confidential - Internal Use Only |</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dygsmyvlte</dc:title>
  <dc:creator/>
  <dc:description>High-detail Product Carbon Footprint (PCF) analysis report for dygsmyvlte by Senior Sustainability Consultant kjwztgzoqi for lkfwyjfmuh, adhering to GHG Protocol and 2026 updates.</dc:description>
  <dc:language>en</dc:language>
  <cp:keywords/>
  <dcterms:created xsi:type="dcterms:W3CDTF">2026-07-15T18:50:02Z</dcterms:created>
  <dcterms:modified xsi:type="dcterms:W3CDTF">2026-07-15T18:50:02Z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