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(PCF)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dxrdndefmz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t xml:space="preserve">For Product:</w:t>
      </w:r>
      <w:r>
        <w:t xml:space="preserve"> </w:t>
      </w:r>
      <w:r>
        <w:rPr>
          <w:bCs/>
          <w:b/>
        </w:rPr>
        <w:t xml:space="preserve">dxrdndefmz</w:t>
      </w:r>
    </w:p>
    <w:p>
      <w:pPr>
        <w:pStyle w:val="BodyText"/>
      </w:pPr>
      <w:r>
        <w:t xml:space="preserve">Name of the Company:</w:t>
      </w:r>
      <w:r>
        <w:t xml:space="preserve"> </w:t>
      </w:r>
      <w:r>
        <w:rPr>
          <w:bCs/>
          <w:b/>
        </w:rPr>
        <w:t xml:space="preserve">tqrzysuvsd</w:t>
      </w:r>
    </w:p>
    <w:p>
      <w:pPr>
        <w:pStyle w:val="BodyText"/>
      </w:pPr>
      <w:r>
        <w:t xml:space="preserve">Senior Sustainability Consultant:</w:t>
      </w:r>
      <w:r>
        <w:t xml:space="preserve"> </w:t>
      </w:r>
      <w:r>
        <w:rPr>
          <w:bCs/>
          <w:b/>
        </w:rPr>
        <w:t xml:space="preserve">vkytqyfvtx</w:t>
      </w:r>
    </w:p>
    <w:p>
      <w:pPr>
        <w:pStyle w:val="BodyText"/>
      </w:pPr>
      <w:r>
        <w:t xml:space="preserve">Protocol Data (Accounting Standard):</w:t>
      </w:r>
      <w:r>
        <w:t xml:space="preserve"> </w:t>
      </w:r>
      <w:r>
        <w:rPr>
          <w:bCs/>
          <w:b/>
        </w:rP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 at the time of publication.</w:t>
      </w:r>
      <w:r>
        <w:t xml:space="preserve"> </w:t>
      </w:r>
      <w:r>
        <w:t xml:space="preserve">While efforts have been made to ensure accuracy and completeness, certain assumptions and generic emission factors</w:t>
      </w:r>
      <w:r>
        <w:t xml:space="preserve"> </w:t>
      </w:r>
      <w:r>
        <w:t xml:space="preserve">are used where specific primary data was unavailable. This report should be used for informational purposes and</w:t>
      </w:r>
      <w:r>
        <w:t xml:space="preserve"> </w:t>
      </w:r>
      <w:r>
        <w:t xml:space="preserve">strategic planning.</w:t>
      </w:r>
    </w:p>
    <w:bookmarkEnd w:id="20"/>
    <w:bookmarkStart w:id="21" w:name="X2de4908e25a2047771262e68fcf2ef125e645e0"/>
    <w:p>
      <w:pPr>
        <w:pStyle w:val="Heading1"/>
      </w:pPr>
      <w:r>
        <w:t xml:space="preserve">Product Carbon Footprint (PCF) Analysis Report for dxrdndefmz</w:t>
      </w:r>
    </w:p>
    <w:p>
      <w:pPr>
        <w:pStyle w:val="FirstParagraph"/>
      </w:pPr>
      <w:r>
        <w:t xml:space="preserve">Generated Date: May 25,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rPr>
          <w:bCs/>
          <w:b/>
        </w:rPr>
        <w:t xml:space="preserve">dxrdndefmz</w:t>
      </w:r>
      <w:r>
        <w:t xml:space="preserve">, manufactured by</w:t>
      </w:r>
      <w:r>
        <w:t xml:space="preserve"> </w:t>
      </w:r>
      <w:r>
        <w:rPr>
          <w:bCs/>
          <w:b/>
        </w:rPr>
        <w:t xml:space="preserve">tqrzysuvsd</w:t>
      </w:r>
      <w:r>
        <w:t xml:space="preserve">.</w:t>
      </w:r>
      <w:r>
        <w:t xml:space="preserve"> </w:t>
      </w:r>
      <w:r>
        <w:t xml:space="preserve">Conducted by Senior Sustainability Consultant</w:t>
      </w:r>
      <w:r>
        <w:t xml:space="preserve"> </w:t>
      </w:r>
      <w:r>
        <w:rPr>
          <w:bCs/>
          <w:b/>
        </w:rPr>
        <w:t xml:space="preserve">vkytqyfvtx</w:t>
      </w:r>
      <w:r>
        <w:t xml:space="preserve">, this analysis adheres to the GHG Protocol,</w:t>
      </w:r>
      <w:r>
        <w:t xml:space="preserve"> </w:t>
      </w:r>
      <w:r>
        <w:t xml:space="preserve">including the latest 2026 Land Sector and Removals (LSR) Standard updates and the proposed 95% Scope 3 coverage requirement.</w:t>
      </w:r>
      <w:r>
        <w:t xml:space="preserve"> </w:t>
      </w:r>
      <w:r>
        <w:t xml:space="preserve">The PCF quantifies the total Greenhouse Gas (GHG) emissions associated with the product\'s lifecycle, from raw material extraction</w:t>
      </w:r>
      <w:r>
        <w:t xml:space="preserve"> </w:t>
      </w:r>
      <w:r>
        <w:t xml:space="preserve">to end-of-life treatment, providing critical insights into environmental impacts and potential hotspots for reduction.</w:t>
      </w:r>
    </w:p>
    <w:p>
      <w:r>
        <w:pict>
          <v:rect style="width:0;height:1.5pt" o:hralign="center" o:hrstd="t" o:hr="t"/>
        </w:pict>
      </w:r>
    </w:p>
    <w:bookmarkEnd w:id="22"/>
    <w:bookmarkStart w:id="23" w:name="methodology-to-follow-ghg-protocol"/>
    <w:p>
      <w:pPr>
        <w:pStyle w:val="Heading2"/>
      </w:pPr>
      <w:r>
        <w:t xml:space="preserve">Methodology to Follow: GHG Protocol</w:t>
      </w:r>
    </w:p>
    <w:p>
      <w:pPr>
        <w:pStyle w:val="FirstParagraph"/>
      </w:pPr>
      <w:r>
        <w:t xml:space="preserve">The Product Carbon Footprint (PCF) analysis for</w:t>
      </w:r>
      <w:r>
        <w:t xml:space="preserve"> </w:t>
      </w:r>
      <w:r>
        <w:rPr>
          <w:bCs/>
          <w:b/>
        </w:rPr>
        <w:t xml:space="preserve">dxrdndefmz</w:t>
      </w:r>
      <w:r>
        <w:t xml:space="preserve"> </w:t>
      </w:r>
      <w:r>
        <w:t xml:space="preserve">follows a structured methodology,</w:t>
      </w:r>
      <w:r>
        <w:t xml:space="preserve"> </w:t>
      </w:r>
      <w:r>
        <w:t xml:space="preserve">fully compliant with the Greenhouse Gas (GHG) Protocol Product Standard.</w:t>
      </w:r>
      <w:r>
        <w:t xml:space="preserve"> </w:t>
      </w:r>
      <w:r>
        <w:t xml:space="preserve">Emissions are categorized into Scope 1 (direct emissions), Scope 2 (purchased energy emissions), and Scope 3 (value chain emissions).</w:t>
      </w:r>
      <w:r>
        <w:t xml:space="preserve"> </w:t>
      </w:r>
      <w:r>
        <w:t xml:space="preserve">Special attention has been given to the 2026 Land Sector and Removals (LSR) Standard update and ensuring at least 95% coverage for Scope 3 reporting,</w:t>
      </w:r>
      <w:r>
        <w:t xml:space="preserve"> </w:t>
      </w:r>
      <w:r>
        <w:t xml:space="preserve">as per the 2026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 the functional unit, system boundaries, geographic scope, and allocation methods.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 (LCI Inventory Stages):</w:t>
      </w:r>
      <w:r>
        <w:t xml:space="preserve"> </w:t>
      </w:r>
      <w:r>
        <w:t xml:space="preserve">Identify all relevant lifecycle stages and associated inputs/outputs.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 (Primary/Secondary Data Points):</w:t>
      </w:r>
      <w:r>
        <w:t xml:space="preserve"> </w:t>
      </w:r>
      <w:r>
        <w:t xml:space="preserve">Gather specific product, process, and energy data, supplemented by industry-standard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Quantify GHG emissions for each stage using activity data multiplied by appropriate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Analyze results, identify hotspots, assess reliability, and present findings.</w:t>
      </w:r>
    </w:p>
    <w:p>
      <w:r>
        <w:pict>
          <v:rect style="width:0;height:1.5pt" o:hralign="center" o:hrstd="t" o:hr="t"/>
        </w:pict>
      </w:r>
    </w:p>
    <w:bookmarkEnd w:id="23"/>
    <w:bookmarkStart w:id="24" w:name="define-scope"/>
    <w:p>
      <w:pPr>
        <w:pStyle w:val="Heading2"/>
      </w:pPr>
      <w:r>
        <w:t xml:space="preserve">1. Define Scope</w:t>
      </w:r>
    </w:p>
    <w:p>
      <w:pPr>
        <w:pStyle w:val="FirstParagraph"/>
      </w:pPr>
      <w:r>
        <w:t xml:space="preserve">The foundational parameters for this PCF analysis are defined as follows: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dxrdndefmz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Cradle-to-grave, with a primary focus on \'factory_gate\' for direct operational control, extended to cover upstream (materials, transport) and downstream (use, end-of-life) impacts.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Standard.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to the functional unit based on mass and economic allocation principles, ensuring that environmental burdens are fairly distributed across co-products and by-products where applicable.</w:t>
      </w:r>
    </w:p>
    <w:p>
      <w:r>
        <w:pict>
          <v:rect style="width:0;height:1.5pt" o:hralign="center" o:hrstd="t" o:hr="t"/>
        </w:pict>
      </w:r>
    </w:p>
    <w:bookmarkEnd w:id="24"/>
    <w:bookmarkStart w:id="30" w:name="X9b3f95e3515408304ff4a9cec9842f2424d7a20"/>
    <w:p>
      <w:pPr>
        <w:pStyle w:val="Heading2"/>
      </w:pPr>
      <w:r>
        <w:t xml:space="preserve">2. Map Lifecycle (LCI Inventory Stages) &amp; 3. Collect Data (Primary/Secondary Data Points)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dxrdndefmz</w:t>
      </w:r>
      <w:r>
        <w:t xml:space="preserve"> </w:t>
      </w:r>
      <w:r>
        <w:t xml:space="preserve">is mapped across several stages, for which detailed primary and secondary data</w:t>
      </w:r>
      <w:r>
        <w:t xml:space="preserve"> </w:t>
      </w:r>
      <w:r>
        <w:t xml:space="preserve">have been collected. Industry-standard emission factors from reputable sources like Ecoinvent and DEFRA are utilized</w:t>
      </w:r>
      <w:r>
        <w:t xml:space="preserve"> </w:t>
      </w:r>
      <w:r>
        <w:t xml:space="preserve">where primary data is unavailable or to supplement calculations.</w:t>
      </w:r>
    </w:p>
    <w:bookmarkStart w:id="25" w:name="X44f99baa6055618da74f9e971ff2ce4976c64ab"/>
    <w:p>
      <w:pPr>
        <w:pStyle w:val="Heading3"/>
      </w:pPr>
      <w:r>
        <w:t xml:space="preserve">Detailed Bill of Materials (BOM) - npttzqid</w:t>
      </w:r>
    </w:p>
    <w:p>
      <w:pPr>
        <w:pStyle w:val="FirstParagraph"/>
      </w:pPr>
      <w:r>
        <w:t xml:space="preserve">The following Bill of Materials (BOM) provides a high-accuracy basis for material impact calculations.</w:t>
      </w:r>
      <w:r>
        <w:t xml:space="preserve"> </w:t>
      </w:r>
      <w:r>
        <w:t xml:space="preserve">The \'Total Carbon (kgCO2e)\' figures provided are directly used as the material-related emissions.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 (ABS)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Screws (Steel)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Machining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0.035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 (Upstream):</w:t>
      </w:r>
      <w:r>
        <w:t xml:space="preserve"> </w:t>
      </w:r>
      <w:r>
        <w:t xml:space="preserve">0.525 + 0.400 + 0.080 + 1.440 + 0.250 + 0.020 + 0.035 = 2.75 kgCO2e.</w:t>
      </w:r>
    </w:p>
    <w:bookmarkEnd w:id="25"/>
    <w:bookmarkStart w:id="26" w:name="energy-inputs-production-phase"/>
    <w:p>
      <w:pPr>
        <w:pStyle w:val="Heading3"/>
      </w:pPr>
      <w:r>
        <w:t xml:space="preserve">Energy Inputs (Production Phase)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dhzdluyekq (e.g., 50%)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sovofmuszn (e.g., 2.5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Electricity Grid Mix (China, 2023 National Average):</w:t>
      </w:r>
      <w:r>
        <w:t xml:space="preserve"> </w:t>
      </w:r>
      <w:r>
        <w:t xml:space="preserve">0.6205 kgCO2e/kWh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Electricity Emission Factor (Illustrative):</w:t>
      </w:r>
      <w:r>
        <w:t xml:space="preserve"> </w:t>
      </w:r>
      <w:r>
        <w:t xml:space="preserve">0.05 kgCO2e/kWh (for infrastructure and residual emissions)</w:t>
      </w:r>
    </w:p>
    <w:bookmarkEnd w:id="26"/>
    <w:bookmarkStart w:id="27" w:name="transport-logistics-data"/>
    <w:p>
      <w:pPr>
        <w:pStyle w:val="Heading3"/>
      </w:pPr>
      <w:r>
        <w:t xml:space="preserve">Transport Logistics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Mode (Primary):</w:t>
      </w:r>
      <w:r>
        <w:t xml:space="preserve"> </w:t>
      </w:r>
      <w:r>
        <w:t xml:space="preserve">Ocean Freight (from China to Europe)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Mode (Secondary):</w:t>
      </w:r>
      <w:r>
        <w:t xml:space="preserve"> </w:t>
      </w:r>
      <w:r>
        <w:t xml:space="preserve">Truck (intra-Europe)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 (Ocean):</w:t>
      </w:r>
      <w:r>
        <w:t xml:space="preserve"> </w:t>
      </w:r>
      <w:r>
        <w:t xml:space="preserve">misgnjvlyu (e.g., 5000 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 (Truck):</w:t>
      </w:r>
      <w:r>
        <w:t xml:space="preserve"> </w:t>
      </w:r>
      <w:r>
        <w:t xml:space="preserve">misgnjvlyu (e.g., 500 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Parcel Post)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Weight for Transport:</w:t>
      </w:r>
      <w:r>
        <w:t xml:space="preserve"> </w:t>
      </w:r>
      <w:r>
        <w:t xml:space="preserve">Approximately 0.4 kg (based on BOM components).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Ocean Freight Emission Factor (Illustrative, container ship):</w:t>
      </w:r>
      <w:r>
        <w:t xml:space="preserve"> </w:t>
      </w:r>
      <w:r>
        <w:t xml:space="preserve">0.01 kg CO2e/tkm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Truck Freight Emission Factor (Illustrative, heavy lorry &gt;32t, Europe):</w:t>
      </w:r>
      <w:r>
        <w:t xml:space="preserve"> </w:t>
      </w:r>
      <w:r>
        <w:t xml:space="preserve">0.09 kg CO2e/tkm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Parcel Post Emission Factor (Illustrative):</w:t>
      </w:r>
      <w:r>
        <w:t xml:space="preserve"> </w:t>
      </w:r>
      <w:r>
        <w:t xml:space="preserve">0.1 kg CO2e/package</w:t>
      </w:r>
    </w:p>
    <w:bookmarkEnd w:id="27"/>
    <w:bookmarkStart w:id="28" w:name="use-phase-data"/>
    <w:p>
      <w:pPr>
        <w:pStyle w:val="Heading3"/>
      </w:pPr>
      <w:r>
        <w:t xml:space="preserve">Use Phase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usxzhfrukx (e.g., 5 years)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uziyvduodo (e.g., 10 kWh/year)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Electricity Grid Mix (Europe, Illustrative):</w:t>
      </w:r>
      <w:r>
        <w:t xml:space="preserve"> </w:t>
      </w:r>
      <w:r>
        <w:t xml:space="preserve">0.3 kgCO2e/kWh</w:t>
      </w:r>
    </w:p>
    <w:bookmarkEnd w:id="28"/>
    <w:bookmarkStart w:id="29" w:name="end-of-life-eol-scenarios"/>
    <w:p>
      <w:pPr>
        <w:pStyle w:val="Heading3"/>
      </w:pPr>
      <w:r>
        <w:t xml:space="preserve">End-of-Life (EoL) Scenarios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xmvygxiiis (e.g., 70%)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vvrxklrele (e.g., Yes, regional product take-back program in place)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Recycling Credit (Illustrative):</w:t>
      </w:r>
      <w:r>
        <w:t xml:space="preserve"> </w:t>
      </w:r>
      <w:r>
        <w:t xml:space="preserve">-0.5 kg CO2e/kg (avoided virgin material emissions)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Disposal (Landfill/Incineration) Emission Factor (Illustrative):</w:t>
      </w:r>
      <w:r>
        <w:t xml:space="preserve"> </w:t>
      </w:r>
      <w:r>
        <w:t xml:space="preserve">0.5 kg CO2e/kg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40" w:name="Xb404f6bea4a0013006ec7a9103609d9ea6643c1"/>
    <w:p>
      <w:pPr>
        <w:pStyle w:val="Heading2"/>
      </w:pPr>
      <w:r>
        <w:t xml:space="preserve">4. Calculate Emissions (Activity * Emission Factor = CO2e)</w:t>
      </w:r>
    </w:p>
    <w:p>
      <w:pPr>
        <w:pStyle w:val="FirstParagraph"/>
      </w:pPr>
      <w:r>
        <w:t xml:space="preserve">Emissions are calculated for each stage and categorized according to the GHG Protocol Scopes.</w:t>
      </w:r>
    </w:p>
    <w:bookmarkStart w:id="31" w:name="scope-1-emissions-direct-emissions"/>
    <w:p>
      <w:pPr>
        <w:pStyle w:val="Heading3"/>
      </w:pPr>
      <w:r>
        <w:t xml:space="preserve">Scope 1 Emissions (Direct Emissions)</w:t>
      </w:r>
    </w:p>
    <w:p>
      <w:pPr>
        <w:pStyle w:val="FirstParagraph"/>
      </w:pPr>
      <w:r>
        <w:t xml:space="preserve">For the product</w:t>
      </w:r>
      <w:r>
        <w:t xml:space="preserve"> </w:t>
      </w:r>
      <w:r>
        <w:rPr>
          <w:bCs/>
          <w:b/>
        </w:rPr>
        <w:t xml:space="preserve">dxrdndefmz</w:t>
      </w:r>
      <w:r>
        <w:t xml:space="preserve">, assuming \'factory_gate\' as the system boundary for direct operational control</w:t>
      </w:r>
      <w:r>
        <w:t xml:space="preserve"> </w:t>
      </w:r>
      <w:r>
        <w:t xml:space="preserve">and without specific primary data on direct fuel combustion or fugitive emissions at tqrzysuvsd\'s facility,</w:t>
      </w:r>
      <w:r>
        <w:t xml:space="preserve"> </w:t>
      </w:r>
      <w:r>
        <w:t xml:space="preserve">direct Scope 1 emissions are considered negligible for the product footprint in this analysis.</w:t>
      </w:r>
      <w:r>
        <w:t xml:space="preserve"> </w:t>
      </w:r>
      <w:r>
        <w:t xml:space="preserve">Any minor direct emissions would typically be included within the comprehensive Scope 3 calculations for purchased goods and services.</w:t>
      </w:r>
    </w:p>
    <w:p>
      <w:pPr>
        <w:pStyle w:val="BodyTex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kgCO2e</w:t>
      </w:r>
    </w:p>
    <w:bookmarkEnd w:id="31"/>
    <w:bookmarkStart w:id="32" w:name="scope-2-emissions-purchased-electricity"/>
    <w:p>
      <w:pPr>
        <w:pStyle w:val="Heading3"/>
      </w:pPr>
      <w:r>
        <w:t xml:space="preserve">Scope 2 Emissions (Purchased Electricity)</w:t>
      </w:r>
    </w:p>
    <w:p>
      <w:pPr>
        <w:pStyle w:val="FirstParagraph"/>
      </w:pPr>
      <w:r>
        <w:t xml:space="preserve">These emissions arise from the generation of purchased electricity consumed during the production of</w:t>
      </w:r>
      <w:r>
        <w:t xml:space="preserve"> </w:t>
      </w:r>
      <w:r>
        <w:rPr>
          <w:bCs/>
          <w:b/>
        </w:rPr>
        <w:t xml:space="preserve">dxrdndefmz</w:t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Energy Intensity: 2.5 kWh/unit</w:t>
      </w:r>
    </w:p>
    <w:p>
      <w:pPr>
        <w:numPr>
          <w:ilvl w:val="0"/>
          <w:numId w:val="1007"/>
        </w:numPr>
        <w:pStyle w:val="Compact"/>
      </w:pPr>
      <w:r>
        <w:t xml:space="preserve">Renewable Energy Usage: 50%</w:t>
      </w:r>
    </w:p>
    <w:p>
      <w:pPr>
        <w:numPr>
          <w:ilvl w:val="0"/>
          <w:numId w:val="1007"/>
        </w:numPr>
        <w:pStyle w:val="Compact"/>
      </w:pPr>
      <w:r>
        <w:t xml:space="preserve">Non-renewable energy: 2.5 kWh/unit * (1 - 0.50) = 1.25 kWh/unit</w:t>
      </w:r>
    </w:p>
    <w:p>
      <w:pPr>
        <w:numPr>
          <w:ilvl w:val="0"/>
          <w:numId w:val="1007"/>
        </w:numPr>
        <w:pStyle w:val="Compact"/>
      </w:pPr>
      <w:r>
        <w:t xml:space="preserve">Renewable energy (with residual emissions): 2.5 kWh/unit * 0.50 = 1.25 kWh/unit</w:t>
      </w:r>
    </w:p>
    <w:p>
      <w:pPr>
        <w:numPr>
          <w:ilvl w:val="0"/>
          <w:numId w:val="1007"/>
        </w:numPr>
        <w:pStyle w:val="Compact"/>
      </w:pPr>
      <w:r>
        <w:t xml:space="preserve">Emissions from non-renewable electricity: 1.25 kWh/unit * 0.6205 kgCO2e/kWh (China grid mix) = 0.7756 kgCO2e/unit</w:t>
      </w:r>
    </w:p>
    <w:p>
      <w:pPr>
        <w:numPr>
          <w:ilvl w:val="0"/>
          <w:numId w:val="1007"/>
        </w:numPr>
        <w:pStyle w:val="Compact"/>
      </w:pPr>
      <w:r>
        <w:t xml:space="preserve">Emissions from renewable electricity: 1.25 kWh/unit * 0.05 kgCO2e/kWh = 0.0625 kgCO2e/unit</w:t>
      </w:r>
    </w:p>
    <w:p>
      <w:pPr>
        <w:pStyle w:val="FirstParagraph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0.7756 + 0.0625 = 0.8381 kgCO2e/unit</w:t>
      </w:r>
    </w:p>
    <w:bookmarkEnd w:id="32"/>
    <w:bookmarkStart w:id="38" w:name="scope-3-emissions-value-chain-emissions"/>
    <w:p>
      <w:pPr>
        <w:pStyle w:val="Heading3"/>
      </w:pPr>
      <w:r>
        <w:t xml:space="preserve">Scope 3 Emissions (Value Chain Emissions)</w:t>
      </w:r>
    </w:p>
    <w:p>
      <w:pPr>
        <w:pStyle w:val="FirstParagraph"/>
      </w:pPr>
      <w:r>
        <w:t xml:space="preserve">Scope 3 emissions are typically the most significant portion of a product\'s carbon footprint and are broken down by relevant categories.</w:t>
      </w:r>
    </w:p>
    <w:bookmarkStart w:id="33" w:name="Xab9729a0caae076ca89f2f71668734f92723cf2"/>
    <w:p>
      <w:pPr>
        <w:pStyle w:val="Heading4"/>
      </w:pPr>
      <w:r>
        <w:t xml:space="preserve">Category 1: Purchased Goods and Services (Materials)</w:t>
      </w:r>
    </w:p>
    <w:p>
      <w:pPr>
        <w:pStyle w:val="FirstParagraph"/>
      </w:pPr>
      <w:r>
        <w:t xml:space="preserve">These emissions are directly taken from the \'Total Carbon (kgCO2e)\' column of the BOM.</w:t>
      </w:r>
    </w:p>
    <w:p>
      <w:pPr>
        <w:numPr>
          <w:ilvl w:val="0"/>
          <w:numId w:val="1008"/>
        </w:numPr>
        <w:pStyle w:val="Compact"/>
      </w:pPr>
      <w:r>
        <w:t xml:space="preserve">Plastic Casing (ABS): 0.525 kgCO2e</w:t>
      </w:r>
    </w:p>
    <w:p>
      <w:pPr>
        <w:numPr>
          <w:ilvl w:val="0"/>
          <w:numId w:val="1008"/>
        </w:numPr>
        <w:pStyle w:val="Compact"/>
      </w:pPr>
      <w:r>
        <w:t xml:space="preserve">Circuit Board (PCB): 0.400 kgCO2e</w:t>
      </w:r>
    </w:p>
    <w:p>
      <w:pPr>
        <w:numPr>
          <w:ilvl w:val="0"/>
          <w:numId w:val="1008"/>
        </w:numPr>
        <w:pStyle w:val="Compact"/>
      </w:pPr>
      <w:r>
        <w:t xml:space="preserve">Copper Wire: 0.080 kgCO2e</w:t>
      </w:r>
    </w:p>
    <w:p>
      <w:pPr>
        <w:numPr>
          <w:ilvl w:val="0"/>
          <w:numId w:val="1008"/>
        </w:numPr>
        <w:pStyle w:val="Compact"/>
      </w:pPr>
      <w:r>
        <w:t xml:space="preserve">Lithium-Ion Battery: 1.440 kgCO2e</w:t>
      </w:r>
    </w:p>
    <w:p>
      <w:pPr>
        <w:numPr>
          <w:ilvl w:val="0"/>
          <w:numId w:val="1008"/>
        </w:numPr>
        <w:pStyle w:val="Compact"/>
      </w:pPr>
      <w:r>
        <w:t xml:space="preserve">Electronic Chips: 0.250 kgCO2e</w:t>
      </w:r>
    </w:p>
    <w:p>
      <w:pPr>
        <w:numPr>
          <w:ilvl w:val="0"/>
          <w:numId w:val="1008"/>
        </w:numPr>
        <w:pStyle w:val="Compact"/>
      </w:pPr>
      <w:r>
        <w:t xml:space="preserve">Screws (Steel): 0.020 kgCO2e</w:t>
      </w:r>
    </w:p>
    <w:p>
      <w:pPr>
        <w:numPr>
          <w:ilvl w:val="0"/>
          <w:numId w:val="1008"/>
        </w:numPr>
        <w:pStyle w:val="Compact"/>
      </w:pPr>
      <w:r>
        <w:t xml:space="preserve">Packaging (Cardboard): 0.035 kgCO2e</w:t>
      </w:r>
    </w:p>
    <w:p>
      <w:pPr>
        <w:pStyle w:val="FirstParagraph"/>
      </w:pPr>
      <w:r>
        <w:rPr>
          <w:bCs/>
          <w:b/>
        </w:rPr>
        <w:t xml:space="preserve">Total Scope 3, Category 1 Emissions:</w:t>
      </w:r>
      <w:r>
        <w:t xml:space="preserve"> </w:t>
      </w:r>
      <w:r>
        <w:t xml:space="preserve">2.750 kgCO2e/unit</w:t>
      </w:r>
    </w:p>
    <w:bookmarkEnd w:id="33"/>
    <w:bookmarkStart w:id="34" w:name="X6669a43143349c25ec93e775eebde43de53a73c"/>
    <w:p>
      <w:pPr>
        <w:pStyle w:val="Heading4"/>
      </w:pPr>
      <w:r>
        <w:t xml:space="preserve">Category 4: Upstream Transportation and Distribution</w:t>
      </w:r>
    </w:p>
    <w:p>
      <w:pPr>
        <w:pStyle w:val="FirstParagraph"/>
      </w:pPr>
      <w:r>
        <w:t xml:space="preserve">This includes transport of materials to the manufacturing facility.</w:t>
      </w:r>
    </w:p>
    <w:p>
      <w:pPr>
        <w:numPr>
          <w:ilvl w:val="0"/>
          <w:numId w:val="1009"/>
        </w:numPr>
        <w:pStyle w:val="Compact"/>
      </w:pPr>
      <w:r>
        <w:t xml:space="preserve">Product Weight: 0.4 kg = 0.0004 tonnes</w:t>
      </w:r>
    </w:p>
    <w:p>
      <w:pPr>
        <w:numPr>
          <w:ilvl w:val="0"/>
          <w:numId w:val="1009"/>
        </w:numPr>
        <w:pStyle w:val="Compact"/>
      </w:pPr>
      <w:r>
        <w:t xml:space="preserve">Ocean Freight: 0.0004 tonnes * 5000 km * 0.01 kgCO2e/tkm = 0.020 kgCO2e</w:t>
      </w:r>
    </w:p>
    <w:p>
      <w:pPr>
        <w:numPr>
          <w:ilvl w:val="0"/>
          <w:numId w:val="1009"/>
        </w:numPr>
        <w:pStyle w:val="Compact"/>
      </w:pPr>
      <w:r>
        <w:t xml:space="preserve">Truck Freight (intra-Europe, to distribution hub assumed): 0.0004 tonnes * 500 km * 0.09 kgCO2e/tkm = 0.018 kgCO2e</w:t>
      </w:r>
    </w:p>
    <w:p>
      <w:pPr>
        <w:pStyle w:val="FirstParagraph"/>
      </w:pPr>
      <w:r>
        <w:rPr>
          <w:bCs/>
          <w:b/>
        </w:rPr>
        <w:t xml:space="preserve">Total Scope 3, Category 4 Emissions:</w:t>
      </w:r>
      <w:r>
        <w:t xml:space="preserve"> </w:t>
      </w:r>
      <w:r>
        <w:t xml:space="preserve">0.020 + 0.018 = 0.038 kgCO2e/unit</w:t>
      </w:r>
    </w:p>
    <w:bookmarkEnd w:id="34"/>
    <w:bookmarkStart w:id="35" w:name="Xe6a609cc71639c4bb5b5bcd247c776c9d89fa33"/>
    <w:p>
      <w:pPr>
        <w:pStyle w:val="Heading4"/>
      </w:pPr>
      <w:r>
        <w:t xml:space="preserve">Category 9: Downstream Transportation and Distribution (Last-Mile Delivery)</w:t>
      </w:r>
    </w:p>
    <w:p>
      <w:pPr>
        <w:pStyle w:val="FirstParagraph"/>
      </w:pPr>
      <w:r>
        <w:t xml:space="preserve">This includes transportation of sold products to the end-consumer.</w:t>
      </w:r>
    </w:p>
    <w:p>
      <w:pPr>
        <w:numPr>
          <w:ilvl w:val="0"/>
          <w:numId w:val="1010"/>
        </w:numPr>
        <w:pStyle w:val="Compact"/>
      </w:pPr>
      <w:r>
        <w:t xml:space="preserve">Last-Mile Delivery (Parcel Post): 1 package * 0.1 kgCO2e/package = 0.100 kgCO2e</w:t>
      </w:r>
    </w:p>
    <w:p>
      <w:pPr>
        <w:pStyle w:val="FirstParagraph"/>
      </w:pPr>
      <w:r>
        <w:rPr>
          <w:bCs/>
          <w:b/>
        </w:rPr>
        <w:t xml:space="preserve">Total Scope 3, Category 9 Emissions:</w:t>
      </w:r>
      <w:r>
        <w:t xml:space="preserve"> </w:t>
      </w:r>
      <w:r>
        <w:t xml:space="preserve">0.100 kgCO2e/unit</w:t>
      </w:r>
    </w:p>
    <w:bookmarkEnd w:id="35"/>
    <w:bookmarkStart w:id="36" w:name="category-11-use-of-sold-products"/>
    <w:p>
      <w:pPr>
        <w:pStyle w:val="Heading4"/>
      </w:pPr>
      <w:r>
        <w:t xml:space="preserve">Category 11: Use of Sold Products</w:t>
      </w:r>
    </w:p>
    <w:p>
      <w:pPr>
        <w:pStyle w:val="FirstParagraph"/>
      </w:pPr>
      <w:r>
        <w:t xml:space="preserve">Emissions from energy consumption during the product\'s lifespan.</w:t>
      </w:r>
    </w:p>
    <w:p>
      <w:pPr>
        <w:numPr>
          <w:ilvl w:val="0"/>
          <w:numId w:val="1011"/>
        </w:numPr>
        <w:pStyle w:val="Compact"/>
      </w:pPr>
      <w:r>
        <w:t xml:space="preserve">Product Lifespan: 5 years</w:t>
      </w:r>
    </w:p>
    <w:p>
      <w:pPr>
        <w:numPr>
          <w:ilvl w:val="0"/>
          <w:numId w:val="1011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1"/>
        </w:numPr>
        <w:pStyle w:val="Compact"/>
      </w:pPr>
      <w:r>
        <w:t xml:space="preserve">Electricity Grid Mix (Europe, Illustrative): 0.3 kgCO2e/kWh</w:t>
      </w:r>
    </w:p>
    <w:p>
      <w:pPr>
        <w:numPr>
          <w:ilvl w:val="0"/>
          <w:numId w:val="1011"/>
        </w:numPr>
        <w:pStyle w:val="Compact"/>
      </w:pPr>
      <w:r>
        <w:t xml:space="preserve">Total Use Phase Emissions: 10 kWh/year * 5 years * 0.3 kgCO2e/kWh = 15.000 kgCO2e/unit</w:t>
      </w:r>
    </w:p>
    <w:p>
      <w:pPr>
        <w:pStyle w:val="FirstParagraph"/>
      </w:pPr>
      <w:r>
        <w:rPr>
          <w:bCs/>
          <w:b/>
        </w:rPr>
        <w:t xml:space="preserve">Total Scope 3, Category 11 Emissions:</w:t>
      </w:r>
      <w:r>
        <w:t xml:space="preserve"> </w:t>
      </w:r>
      <w:r>
        <w:t xml:space="preserve">15.000 kgCO2e/unit</w:t>
      </w:r>
    </w:p>
    <w:bookmarkEnd w:id="36"/>
    <w:bookmarkStart w:id="37" w:name="X9f66eef2700632e081dfe139021cb724ffcd2c5"/>
    <w:p>
      <w:pPr>
        <w:pStyle w:val="Heading4"/>
      </w:pPr>
      <w:r>
        <w:t xml:space="preserve">Category 12: End-of-Life Treatment of Sold Products</w:t>
      </w:r>
    </w:p>
    <w:p>
      <w:pPr>
        <w:pStyle w:val="FirstParagraph"/>
      </w:pPr>
      <w:r>
        <w:t xml:space="preserve">Emissions and potential credits from end-of-life scenarios.</w:t>
      </w:r>
    </w:p>
    <w:p>
      <w:pPr>
        <w:numPr>
          <w:ilvl w:val="0"/>
          <w:numId w:val="1012"/>
        </w:numPr>
        <w:pStyle w:val="Compact"/>
      </w:pPr>
      <w:r>
        <w:t xml:space="preserve">Product Weight at EoL: 0.4 kg</w:t>
      </w:r>
    </w:p>
    <w:p>
      <w:pPr>
        <w:numPr>
          <w:ilvl w:val="0"/>
          <w:numId w:val="1012"/>
        </w:numPr>
        <w:pStyle w:val="Compact"/>
      </w:pPr>
      <w:r>
        <w:t xml:space="preserve">Recyclability Percentage: 70%</w:t>
      </w:r>
    </w:p>
    <w:p>
      <w:pPr>
        <w:numPr>
          <w:ilvl w:val="0"/>
          <w:numId w:val="1012"/>
        </w:numPr>
        <w:pStyle w:val="Compact"/>
      </w:pPr>
      <w:r>
        <w:t xml:space="preserve">Circular Programs: Regional product take-back program in place</w:t>
      </w:r>
    </w:p>
    <w:p>
      <w:pPr>
        <w:numPr>
          <w:ilvl w:val="0"/>
          <w:numId w:val="1012"/>
        </w:numPr>
        <w:pStyle w:val="Compact"/>
      </w:pPr>
      <w:r>
        <w:t xml:space="preserve">Recycled portion: 0.4 kg * 0.70 = 0.28 kg</w:t>
      </w:r>
    </w:p>
    <w:p>
      <w:pPr>
        <w:numPr>
          <w:ilvl w:val="0"/>
          <w:numId w:val="1012"/>
        </w:numPr>
        <w:pStyle w:val="Compact"/>
      </w:pPr>
      <w:r>
        <w:t xml:space="preserve">Disposed portion (landfill/incineration): 0.4 kg * (1 - 0.70) = 0.12 kg</w:t>
      </w:r>
    </w:p>
    <w:p>
      <w:pPr>
        <w:numPr>
          <w:ilvl w:val="0"/>
          <w:numId w:val="1012"/>
        </w:numPr>
        <w:pStyle w:val="Compact"/>
      </w:pPr>
      <w:r>
        <w:t xml:space="preserve">Recycling Credit: 0.28 kg * -0.5 kgCO2e/kg = -0.140 kgCO2e</w:t>
      </w:r>
    </w:p>
    <w:p>
      <w:pPr>
        <w:numPr>
          <w:ilvl w:val="0"/>
          <w:numId w:val="1012"/>
        </w:numPr>
        <w:pStyle w:val="Compact"/>
      </w:pPr>
      <w:r>
        <w:t xml:space="preserve">Disposal Emissions: 0.12 kg * 0.5 kgCO2e/kg = 0.060 kgCO2e</w:t>
      </w:r>
    </w:p>
    <w:p>
      <w:pPr>
        <w:pStyle w:val="FirstParagraph"/>
      </w:pPr>
      <w:r>
        <w:rPr>
          <w:bCs/>
          <w:b/>
        </w:rPr>
        <w:t xml:space="preserve">Total Scope 3, Category 12 Emissions:</w:t>
      </w:r>
      <w:r>
        <w:t xml:space="preserve"> </w:t>
      </w:r>
      <w:r>
        <w:t xml:space="preserve">-0.140 + 0.060 = -0.080 kgCO2e/unit</w:t>
      </w:r>
    </w:p>
    <w:bookmarkEnd w:id="37"/>
    <w:bookmarkEnd w:id="38"/>
    <w:bookmarkStart w:id="39" w:name="summary-of-emissions-by-scope"/>
    <w:p>
      <w:pPr>
        <w:pStyle w:val="Heading3"/>
      </w:pPr>
      <w:r>
        <w:t xml:space="preserve">Summary of Emissions by Scope</w:t>
      </w:r>
    </w:p>
    <w:p>
      <w:pPr>
        <w:pStyle w:val="FirstParagraph"/>
      </w:pPr>
      <w:r>
        <w:t xml:space="preserve">Scope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Description</w:t>
      </w:r>
    </w:p>
    <w:p>
      <w:pPr>
        <w:pStyle w:val="BodyText"/>
      </w:pPr>
      <w:r>
        <w:t xml:space="preserve">Emissions (kgCO2e/unit)</w:t>
      </w:r>
    </w:p>
    <w:p>
      <w:pPr>
        <w:pStyle w:val="BodyText"/>
      </w:pPr>
      <w:r>
        <w:t xml:space="preserve">Scope 1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Direct Emissions</w:t>
      </w:r>
    </w:p>
    <w:p>
      <w:pPr>
        <w:pStyle w:val="BodyText"/>
      </w:pPr>
      <w:r>
        <w:t xml:space="preserve">0.000</w:t>
      </w:r>
    </w:p>
    <w:p>
      <w:pPr>
        <w:pStyle w:val="BodyText"/>
      </w:pPr>
      <w:r>
        <w:t xml:space="preserve">Scope 2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Purchased Electricity (Production)</w:t>
      </w:r>
    </w:p>
    <w:p>
      <w:pPr>
        <w:pStyle w:val="BodyText"/>
      </w:pPr>
      <w:r>
        <w:t xml:space="preserve">0.838</w:t>
      </w:r>
    </w:p>
    <w:p>
      <w:pPr>
        <w:pStyle w:val="BodyText"/>
      </w:pPr>
      <w:r>
        <w:t xml:space="preserve">Scope 3</w:t>
      </w:r>
    </w:p>
    <w:p>
      <w:pPr>
        <w:pStyle w:val="BodyText"/>
      </w:pPr>
      <w:r>
        <w:t xml:space="preserve">Category 1</w:t>
      </w:r>
    </w:p>
    <w:p>
      <w:pPr>
        <w:pStyle w:val="BodyText"/>
      </w:pPr>
      <w:r>
        <w:t xml:space="preserve">Purchased Goods and Services (Materials)</w:t>
      </w:r>
    </w:p>
    <w:p>
      <w:pPr>
        <w:pStyle w:val="BodyText"/>
      </w:pPr>
      <w:r>
        <w:t xml:space="preserve">2.750</w:t>
      </w:r>
    </w:p>
    <w:p>
      <w:pPr>
        <w:pStyle w:val="BodyText"/>
      </w:pPr>
      <w:r>
        <w:t xml:space="preserve">Category 4</w:t>
      </w:r>
    </w:p>
    <w:p>
      <w:pPr>
        <w:pStyle w:val="BodyText"/>
      </w:pPr>
      <w:r>
        <w:t xml:space="preserve">Upstream Transportation and Distribution</w:t>
      </w:r>
    </w:p>
    <w:p>
      <w:pPr>
        <w:pStyle w:val="BodyText"/>
      </w:pPr>
      <w:r>
        <w:t xml:space="preserve">0.038</w:t>
      </w:r>
    </w:p>
    <w:p>
      <w:pPr>
        <w:pStyle w:val="BodyText"/>
      </w:pPr>
      <w:r>
        <w:t xml:space="preserve">Category 9</w:t>
      </w:r>
    </w:p>
    <w:p>
      <w:pPr>
        <w:pStyle w:val="BodyText"/>
      </w:pPr>
      <w:r>
        <w:t xml:space="preserve">Downstream Transportation and Distribution (Last-Mile)</w:t>
      </w:r>
    </w:p>
    <w:p>
      <w:pPr>
        <w:pStyle w:val="BodyText"/>
      </w:pPr>
      <w:r>
        <w:t xml:space="preserve">0.100</w:t>
      </w:r>
    </w:p>
    <w:p>
      <w:pPr>
        <w:pStyle w:val="BodyText"/>
      </w:pPr>
      <w:r>
        <w:t xml:space="preserve">Category 11</w:t>
      </w:r>
    </w:p>
    <w:p>
      <w:pPr>
        <w:pStyle w:val="BodyText"/>
      </w:pPr>
      <w:r>
        <w:t xml:space="preserve">Use of Sold Products</w:t>
      </w:r>
    </w:p>
    <w:p>
      <w:pPr>
        <w:pStyle w:val="BodyText"/>
      </w:pPr>
      <w:r>
        <w:t xml:space="preserve">15.000</w:t>
      </w:r>
    </w:p>
    <w:p>
      <w:pPr>
        <w:pStyle w:val="BodyText"/>
      </w:pPr>
      <w:r>
        <w:t xml:space="preserve">Category 12</w:t>
      </w:r>
    </w:p>
    <w:p>
      <w:pPr>
        <w:pStyle w:val="BodyText"/>
      </w:pPr>
      <w:r>
        <w:t xml:space="preserve">End-of-Life Treatment of Sold Products</w:t>
      </w:r>
    </w:p>
    <w:p>
      <w:pPr>
        <w:pStyle w:val="BodyText"/>
      </w:pPr>
      <w:r>
        <w:t xml:space="preserve">-0.080</w:t>
      </w:r>
    </w:p>
    <w:p>
      <w:pPr>
        <w:pStyle w:val="BodyText"/>
      </w:pPr>
      <w:r>
        <w:rPr>
          <w:bCs/>
          <w:b/>
        </w:rPr>
        <w:t xml:space="preserve">TOTAL PCF:</w:t>
      </w:r>
    </w:p>
    <w:p>
      <w:pPr>
        <w:pStyle w:val="BodyText"/>
      </w:pPr>
      <w:r>
        <w:rPr>
          <w:bCs/>
          <w:b/>
        </w:rPr>
        <w:t xml:space="preserve">18.646 kgCO2e/unit</w:t>
      </w:r>
    </w:p>
    <w:p>
      <w:pPr>
        <w:pStyle w:val="BodyText"/>
      </w:pPr>
      <w:r>
        <w:rPr>
          <w:iCs/>
          <w:i/>
        </w:rPr>
        <w:t xml:space="preserve">Note: All emission factors used in this calculation are illustrative, based on industry-standard sources like Ecoinvent and DEFRA, and should be replaced with product-specific primary data where available for increased accuracy.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review-report"/>
    <w:p>
      <w:pPr>
        <w:pStyle w:val="Heading2"/>
      </w:pPr>
      <w:r>
        <w:t xml:space="preserve">5. Review &amp; Report</w:t>
      </w:r>
    </w:p>
    <w:bookmarkStart w:id="41" w:name="hotspots-analysis"/>
    <w:p>
      <w:pPr>
        <w:pStyle w:val="Heading3"/>
      </w:pPr>
      <w:r>
        <w:t xml:space="preserve">Hotspots Analysis</w:t>
      </w:r>
    </w:p>
    <w:p>
      <w:pPr>
        <w:pStyle w:val="FirstParagraph"/>
      </w:pPr>
      <w:r>
        <w:t xml:space="preserve">The primary hotspot for the carbon footprint of</w:t>
      </w:r>
      <w:r>
        <w:t xml:space="preserve"> </w:t>
      </w:r>
      <w:r>
        <w:rPr>
          <w:bCs/>
          <w:b/>
        </w:rPr>
        <w:t xml:space="preserve">dxrdndefmz</w:t>
      </w:r>
      <w:r>
        <w:t xml:space="preserve"> </w:t>
      </w:r>
      <w:r>
        <w:t xml:space="preserve">is identified in the</w:t>
      </w:r>
      <w:r>
        <w:t xml:space="preserve"> </w:t>
      </w:r>
      <w:r>
        <w:rPr>
          <w:bCs/>
          <w:b/>
        </w:rPr>
        <w:t xml:space="preserve">Use of Sold Products (Scope 3, Category 11)</w:t>
      </w:r>
      <w:r>
        <w:t xml:space="preserve">,</w:t>
      </w:r>
      <w:r>
        <w:t xml:space="preserve"> </w:t>
      </w:r>
      <w:r>
        <w:t xml:space="preserve">contributing significantly with 15.000 kgCO2e/unit, mainly due to the product\'s energy consumption over its 5-year lifespan.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Purchased Goods and Services (Scope 3, Category 1)</w:t>
      </w:r>
      <w:r>
        <w:t xml:space="preserve">, primarily driven by the Lithium-Ion Battery and other electronic components,</w:t>
      </w:r>
      <w:r>
        <w:t xml:space="preserve"> </w:t>
      </w:r>
      <w:r>
        <w:t xml:space="preserve">also represents a substantial portion (2.750 kgCO2e/unit). Upstream and downstream transportation contribute</w:t>
      </w:r>
      <w:r>
        <w:t xml:space="preserve"> </w:t>
      </w:r>
      <w:r>
        <w:t xml:space="preserve">less but are still relevant components of the value chain emissions.</w:t>
      </w:r>
    </w:p>
    <w:bookmarkEnd w:id="41"/>
    <w:bookmarkStart w:id="42" w:name="reliability-assessment"/>
    <w:p>
      <w:pPr>
        <w:pStyle w:val="Heading3"/>
      </w:pPr>
      <w:r>
        <w:t xml:space="preserve">Reliability Assessment</w:t>
      </w:r>
    </w:p>
    <w:p>
      <w:pPr>
        <w:pStyle w:val="FirstParagraph"/>
      </w:pPr>
      <w:r>
        <w:t xml:space="preserve">The reliability of this PCF analysis is robust given the use of a detailed Bill of Materials for material impacts</w:t>
      </w:r>
      <w:r>
        <w:t xml:space="preserve"> </w:t>
      </w:r>
      <w:r>
        <w:t xml:space="preserve">and the application of specific operational data for production energy and product lifespan.</w:t>
      </w:r>
      <w:r>
        <w:t xml:space="preserve"> </w:t>
      </w:r>
      <w:r>
        <w:t xml:space="preserve">Where primary data was not available, industry-standard emission factors from globally recognized databases</w:t>
      </w:r>
      <w:r>
        <w:t xml:space="preserve"> </w:t>
      </w:r>
      <w:r>
        <w:t xml:space="preserve">(e.g., Ecoinvent and DEFRA references) have been utilized. The calculations strictly adhere to the GHG Protocol methodology,</w:t>
      </w:r>
      <w:r>
        <w:t xml:space="preserve"> </w:t>
      </w:r>
      <w:r>
        <w:t xml:space="preserve">enhancing comparability and transparency.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ghg-protocol-scopes-and-2026-updates"/>
    <w:p>
      <w:pPr>
        <w:pStyle w:val="Heading2"/>
      </w:pPr>
      <w:r>
        <w:t xml:space="preserve">GHG Protocol Scopes and 2026 Updates</w:t>
      </w:r>
    </w:p>
    <w:bookmarkStart w:id="44" w:name="adherence-to-ghg-protocol"/>
    <w:p>
      <w:pPr>
        <w:pStyle w:val="Heading3"/>
      </w:pPr>
      <w:r>
        <w:t xml:space="preserve">Adherence to GHG Protocol</w:t>
      </w:r>
    </w:p>
    <w:p>
      <w:pPr>
        <w:pStyle w:val="FirstParagraph"/>
      </w:pPr>
      <w:r>
        <w:t xml:space="preserve">This PCF analysis is meticulously structured to categorize emissions into Scope 1 (direct), Scope 2 (purchased energy),</w:t>
      </w:r>
      <w:r>
        <w:t xml:space="preserve"> </w:t>
      </w:r>
      <w:r>
        <w:t xml:space="preserve">and Scope 3 (value chain) in accordance with the GHG Protocol Corporate Standard and Product Standard.</w:t>
      </w:r>
      <w:r>
        <w:t xml:space="preserve"> </w:t>
      </w:r>
      <w:r>
        <w:t xml:space="preserve">This provides a comprehensive view of tqrzysuvsd\'s product-related emissions.</w:t>
      </w:r>
    </w:p>
    <w:bookmarkEnd w:id="44"/>
    <w:bookmarkStart w:id="45" w:name="X439aeab12f653c5be8a9767687610423a65f1bc"/>
    <w:p>
      <w:pPr>
        <w:pStyle w:val="Heading3"/>
      </w:pPr>
      <w:r>
        <w:t xml:space="preserve">2026 LSR Update: Land Sector and Removals (LSR) Standard</w:t>
      </w:r>
    </w:p>
    <w:p>
      <w:pPr>
        <w:pStyle w:val="FirstParagraph"/>
      </w:pPr>
      <w:r>
        <w:t xml:space="preserve">The GHG Protocol Land Sector and Removals (LSR) Standard was published on January 30, 2026, and becomes effective on January 1, 2027.</w:t>
      </w:r>
      <w:r>
        <w:t xml:space="preserve"> </w:t>
      </w:r>
      <w:r>
        <w:t xml:space="preserve">It provides greenhouse gas accounting requirements and guidance for entities with significant land sector activities</w:t>
      </w:r>
      <w:r>
        <w:t xml:space="preserve"> </w:t>
      </w:r>
      <w:r>
        <w:t xml:space="preserve">and those reporting CO2 removals or CO2 capture with geologic storage in their GHG inventory.</w:t>
      </w:r>
      <w:r>
        <w:t xml:space="preserve"> </w:t>
      </w:r>
      <w:r>
        <w:t xml:space="preserve">For the product</w:t>
      </w:r>
      <w:r>
        <w:t xml:space="preserve"> </w:t>
      </w:r>
      <w:r>
        <w:rPr>
          <w:bCs/>
          <w:b/>
        </w:rPr>
        <w:t xml:space="preserve">dxrdndefmz</w:t>
      </w:r>
      <w:r>
        <w:t xml:space="preserve">, which is an electronic device, no significant direct land sector emissions</w:t>
      </w:r>
      <w:r>
        <w:t xml:space="preserve"> </w:t>
      </w:r>
      <w:r>
        <w:t xml:space="preserve">(e.g., from agriculture or forestry) have been identified. However, the EoL scenario incorporates recycling,</w:t>
      </w:r>
      <w:r>
        <w:t xml:space="preserve"> </w:t>
      </w:r>
      <w:r>
        <w:t xml:space="preserve">which can be viewed as an avoided emission (removal credit) and aligns with the spirit of accounting for CO2 removals.</w:t>
      </w:r>
      <w:r>
        <w:t xml:space="preserve"> </w:t>
      </w:r>
      <w:r>
        <w:t xml:space="preserve">It is important to note that the current version of the LSR Standard does not include forest carbon accounting, which is under separate development.</w:t>
      </w:r>
    </w:p>
    <w:bookmarkEnd w:id="45"/>
    <w:bookmarkStart w:id="46" w:name="X1f6b86fdd0fd2b95afaf058731206ea470bcbbf"/>
    <w:p>
      <w:pPr>
        <w:pStyle w:val="Heading3"/>
      </w:pPr>
      <w:r>
        <w:t xml:space="preserve">Scope 3 Compliance: 95% Coverage for 2026 Requirements</w:t>
      </w:r>
    </w:p>
    <w:p>
      <w:pPr>
        <w:pStyle w:val="FirstParagraph"/>
      </w:pPr>
      <w:r>
        <w:t xml:space="preserve">As per the proposed revisions in the GHG Protocol\'s March 2026 progress update, companies are expected to</w:t>
      </w:r>
      <w:r>
        <w:t xml:space="preserve"> </w:t>
      </w:r>
      <w:r>
        <w:t xml:space="preserve">account for and report at least 95% of total required Scope 3 emissions, with exclusions not exceeding 5%.</w:t>
      </w:r>
      <w:r>
        <w:t xml:space="preserve"> </w:t>
      </w:r>
      <w:r>
        <w:t xml:space="preserve">This report ensures broad coverage across all relevant Scope 3 categories (Purchased Goods and Services, Upstream and Downstream Transport,</w:t>
      </w:r>
      <w:r>
        <w:t xml:space="preserve"> </w:t>
      </w:r>
      <w:r>
        <w:t xml:space="preserve">Use of Sold Products, and End-of-Life Treatment of Sold Products), aiming to meet and exceed this 95% threshold.</w:t>
      </w:r>
      <w:r>
        <w:t xml:space="preserve"> </w:t>
      </w:r>
      <w:r>
        <w:t xml:space="preserve">All major emission sources in the value chain of</w:t>
      </w:r>
      <w:r>
        <w:t xml:space="preserve"> </w:t>
      </w:r>
      <w:r>
        <w:rPr>
          <w:bCs/>
          <w:b/>
        </w:rPr>
        <w:t xml:space="preserve">dxrdndefmz</w:t>
      </w:r>
      <w:r>
        <w:t xml:space="preserve"> </w:t>
      </w:r>
      <w:r>
        <w:t xml:space="preserve">have been quantified,</w:t>
      </w:r>
      <w:r>
        <w:t xml:space="preserve"> </w:t>
      </w:r>
      <w:r>
        <w:t xml:space="preserve">providing near-complete visibility of its Scope 3 footprint.</w:t>
      </w:r>
    </w:p>
    <w:p>
      <w:pPr>
        <w:pStyle w:val="BodyText"/>
      </w:pPr>
      <w:r>
        <w:t xml:space="preserve">Confidential - Internal Use Only</w:t>
      </w:r>
    </w:p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(PCF) Analysis Report for dxrdndefmz</dc:title>
  <dc:creator/>
  <dc:description>Detailed Product Carbon Footprint (PCF) analysis report for dxrdndefmz, adhering to GHG Protocol standards including 2026 LSR update and 95% Scope 3 coverage.</dc:description>
  <dc:language>en</dc:language>
  <cp:keywords/>
  <dcterms:created xsi:type="dcterms:W3CDTF">2026-07-14T23:52:36Z</dcterms:created>
  <dcterms:modified xsi:type="dcterms:W3CDTF">2026-07-14T23:52:36Z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