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dxdziwskqx</w:t>
      </w:r>
    </w:p>
    <w:p>
      <w:pPr>
        <w:pStyle w:val="FirstParagraph"/>
      </w:pPr>
      <w:r>
        <w:t xml:space="preserve">carboncalcpcf.com</w:t>
      </w:r>
    </w:p>
    <w:bookmarkStart w:id="23" w:name="Xf2e6ab5be446359d80f42f50d41e46314dfe19d"/>
    <w:p>
      <w:pPr>
        <w:pStyle w:val="Heading1"/>
      </w:pPr>
      <w:r>
        <w:t xml:space="preserve">Product Carbon Footprint (PCF) Analysis Report</w:t>
      </w:r>
    </w:p>
    <w:bookmarkStart w:id="22" w:name="for-product-dxdziwskqx"/>
    <w:p>
      <w:pPr>
        <w:pStyle w:val="Heading2"/>
      </w:pPr>
      <w:r>
        <w:t xml:space="preserve">For Product: dxdziwskqx</w:t>
      </w:r>
    </w:p>
    <w:bookmarkStart w:id="21" w:name="company-gwomemqizj"/>
    <w:p>
      <w:pPr>
        <w:pStyle w:val="Heading3"/>
      </w:pPr>
      <w:r>
        <w:t xml:space="preserve">Company: gwomemqizj</w:t>
      </w:r>
    </w:p>
    <w:bookmarkStart w:id="20" w:name="X41acd35295377c35ca8aed86dafa3db0337d1d5"/>
    <w:p>
      <w:pPr>
        <w:pStyle w:val="Heading4"/>
      </w:pPr>
      <w:r>
        <w:t xml:space="preserve">Prepared by: nrfemhidis, Senior Sustainability Consultant</w:t>
      </w:r>
    </w:p>
    <w:p>
      <w:pPr>
        <w:pStyle w:val="FirstParagraph"/>
      </w:pPr>
      <w:r>
        <w:rPr>
          <w:bCs/>
          <w:b/>
        </w:rPr>
        <w:t xml:space="preserve">Protocol Data (Accounting Standard):</w:t>
      </w:r>
      <w:r>
        <w:t xml:space="preserve"> </w:t>
      </w:r>
      <w:r>
        <w:t xml:space="preserve">GHG Protocol</w:t>
      </w:r>
    </w:p>
    <w:p>
      <w:pPr>
        <w:pStyle w:val="BodyText"/>
      </w:pPr>
      <w:r>
        <w:rPr>
          <w:bCs/>
          <w:b/>
        </w:rPr>
        <w:t xml:space="preserve">Generated Date:</w:t>
      </w:r>
      <w:r>
        <w:t xml:space="preserve"> </w:t>
      </w:r>
      <w:r>
        <w:t xml:space="preserve">May 18, 2026</w:t>
      </w:r>
    </w:p>
    <w:p>
      <w:pPr>
        <w:pStyle w:val="BodyText"/>
      </w:pPr>
      <w:r>
        <w:t xml:space="preserve">Disclaimer: This report is generated based on available data and industry standards, aiming to provide a high-level product carbon footprint analysis. Actual emissions may vary based on specific operational details and real-time data collection. The calculations presented herein are based on the provided parameters and representative emission factors where specific primary data was unavailable.</w:t>
      </w:r>
    </w:p>
    <w:bookmarkEnd w:id="20"/>
    <w:bookmarkEnd w:id="21"/>
    <w:bookmarkEnd w:id="22"/>
    <w:bookmarkEnd w:id="23"/>
    <w:bookmarkStart w:id="44" w:name="Xcd8d85747043edf38605df0e02f15c90d2349a2"/>
    <w:p>
      <w:pPr>
        <w:pStyle w:val="Heading1"/>
      </w:pPr>
      <w:r>
        <w:t xml:space="preserve">Product Carbon Footprint (PCF) Analysis Report for dxdziwskqx</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nrfemhidis</w:t>
      </w:r>
    </w:p>
    <w:p>
      <w:pPr>
        <w:pStyle w:val="BodyText"/>
      </w:pPr>
      <w:r>
        <w:rPr>
          <w:bCs/>
          <w:b/>
        </w:rPr>
        <w:t xml:space="preserve">Company Name:</w:t>
      </w:r>
      <w:r>
        <w:t xml:space="preserve"> </w:t>
      </w:r>
      <w:r>
        <w:t xml:space="preserve">gwomemqizj</w:t>
      </w:r>
    </w:p>
    <w:p>
      <w:r>
        <w:pict>
          <v:rect style="width:0;height:1.5pt" o:hralign="center" o:hrstd="t" o:hr="t"/>
        </w:pict>
      </w:r>
    </w:p>
    <w:bookmarkStart w:id="24" w:name="executive-summary"/>
    <w:p>
      <w:pPr>
        <w:pStyle w:val="Heading2"/>
      </w:pPr>
      <w:r>
        <w:t xml:space="preserve">1. Executive Summary</w:t>
      </w:r>
    </w:p>
    <w:p>
      <w:pPr>
        <w:pStyle w:val="FirstParagraph"/>
      </w:pPr>
      <w:r>
        <w:t xml:space="preserve">This report presents a high-detail Product Carbon Footprint (PCF) analysis for dxdziwskqx, manufactured by gwomemqizj. The analysis adheres strictly to the GHG Protocol accounting standard, incorporating the 2026 Land Sector and Removals (LSR) update and targeting at least 95% Scope 3 coverage. The functional unit is defined as 1.0 unit of the product, with a system boundary set at \'factory_gate\' for initial assessment, extending to cover the full lifecycle. The geographic scope focuses on final production in China with a European-focused supply chain.</w:t>
      </w:r>
    </w:p>
    <w:p>
      <w:pPr>
        <w:pStyle w:val="BodyText"/>
      </w:pPr>
      <w:r>
        <w:t xml:space="preserve">The total Product Carbon Footprint for dxdziwskqx has been calculated to be 29.21 kg CO2e per functional unit. Key hotspots identified include the use phase during the product\'s operational lifespan and the materials acquisition &amp; pre-processing phase. Recommendations for emission reduction pathways are provided, focusing on material selection, energy efficiency, and circularity initiatives.</w:t>
      </w:r>
    </w:p>
    <w:p>
      <w:r>
        <w:pict>
          <v:rect style="width:0;height:1.5pt" o:hralign="center" o:hrstd="t" o:hr="t"/>
        </w:pict>
      </w:r>
    </w:p>
    <w:bookmarkEnd w:id="24"/>
    <w:bookmarkStart w:id="25" w:name="introduction"/>
    <w:p>
      <w:pPr>
        <w:pStyle w:val="Heading2"/>
      </w:pPr>
      <w:r>
        <w:t xml:space="preserve">2. Introduction</w:t>
      </w:r>
    </w:p>
    <w:p>
      <w:pPr>
        <w:pStyle w:val="FirstParagraph"/>
      </w:pPr>
      <w:r>
        <w:t xml:space="preserve">In response to increasing stakeholder demands and regulatory pressures for environmental transparency, gwomemqizj has commissioned this comprehensive Product Carbon Footprint (PCF) analysis for its product, dxdziwskqx. This report, prepared by nrfemhidis, a Senior Sustainability Consultant specializing in GHG Protocol, aims to quantify the greenhouse gas (GHG) emissions associated with the entire lifecycle of the product. By identifying emission hotspots, gwomemqizj can strategically target areas for improvement, enhance product sustainability, and communicate its environmental performance accurately.</w:t>
      </w:r>
    </w:p>
    <w:p>
      <w:r>
        <w:pict>
          <v:rect style="width:0;height:1.5pt" o:hralign="center" o:hrstd="t" o:hr="t"/>
        </w:pict>
      </w:r>
    </w:p>
    <w:bookmarkEnd w:id="25"/>
    <w:bookmarkStart w:id="28" w:name="methodology"/>
    <w:p>
      <w:pPr>
        <w:pStyle w:val="Heading2"/>
      </w:pPr>
      <w:r>
        <w:t xml:space="preserve">3. Methodology</w:t>
      </w:r>
    </w:p>
    <w:p>
      <w:pPr>
        <w:pStyle w:val="FirstParagraph"/>
      </w:pPr>
      <w:r>
        <w:t xml:space="preserve">The Product Carbon Footprint (PCF) analysis for dxdziwskqx follows the five-step methodology prescribed by leading international standards and best practices, specifically aligning with the GHG Protocol.</w:t>
      </w:r>
    </w:p>
    <w:bookmarkStart w:id="26" w:name="five-step-approach"/>
    <w:p>
      <w:pPr>
        <w:pStyle w:val="Heading3"/>
      </w:pPr>
      <w:r>
        <w:t xml:space="preserve">3.1.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Detail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data specific to gwomemqizj\'s operations and secondary data from reputable databases for generic processes and emission factors.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categorized by GHG Protocol Scopes.</w:t>
      </w:r>
    </w:p>
    <w:p>
      <w:pPr>
        <w:numPr>
          <w:ilvl w:val="0"/>
          <w:numId w:val="1001"/>
        </w:numPr>
        <w:pStyle w:val="Compact"/>
      </w:pPr>
      <w:r>
        <w:rPr>
          <w:bCs/>
          <w:b/>
        </w:rPr>
        <w:t xml:space="preserve">Review &amp; Report:</w:t>
      </w:r>
      <w:r>
        <w:t xml:space="preserve"> </w:t>
      </w:r>
      <w:r>
        <w:t xml:space="preserve">Analyze results, identify hotspots, assess data reliability, and present findings in a transparent and actionable report.</w:t>
      </w:r>
    </w:p>
    <w:bookmarkEnd w:id="26"/>
    <w:bookmarkStart w:id="27" w:name="accounting-standards-and-compliance"/>
    <w:p>
      <w:pPr>
        <w:pStyle w:val="Heading3"/>
      </w:pPr>
      <w:r>
        <w:t xml:space="preserve">3.2. Accounting Standards and Compliance</w:t>
      </w:r>
    </w:p>
    <w:p>
      <w:pPr>
        <w:numPr>
          <w:ilvl w:val="0"/>
          <w:numId w:val="1002"/>
        </w:numPr>
        <w:pStyle w:val="Compact"/>
      </w:pPr>
      <w:r>
        <w:rPr>
          <w:bCs/>
          <w:b/>
        </w:rPr>
        <w:t xml:space="preserve">Accounting Standard: GHG Protocol:</w:t>
      </w:r>
      <w:r>
        <w:t xml:space="preserve"> </w:t>
      </w:r>
      <w:r>
        <w:t xml:space="preserve">All calculations and categorizations strictly adhere to the Greenhouse Gas Protocol Corporate Standard and Product Standard, ensuring robust and internationally recognized reporting. Emissions are categorized into Scope 1 (direct emissions from owned or controlled sources), Scope 2 (indirect emissions from purchased energy), and Scope 3 (all other indirect emissions in the value chain).</w:t>
      </w:r>
    </w:p>
    <w:p>
      <w:pPr>
        <w:numPr>
          <w:ilvl w:val="0"/>
          <w:numId w:val="1002"/>
        </w:numPr>
        <w:pStyle w:val="Compact"/>
      </w:pPr>
      <w:r>
        <w:rPr>
          <w:bCs/>
          <w:b/>
        </w:rPr>
        <w:t xml:space="preserve">2026 LSR Update:</w:t>
      </w:r>
      <w:r>
        <w:t xml:space="preserve"> </w:t>
      </w:r>
      <w:r>
        <w:t xml:space="preserve">The analysis applies the principles of the Land Sector and Removals (LSR) Standard, which was released on January 30, 2026, and is effective from January 1, 2027. This standard provides accounting requirements for land emissions, CO₂ removals, and technological CO₂ removals. While specific land-use data are not available for this general product analysis, the principles are acknowledged.</w:t>
      </w:r>
    </w:p>
    <w:p>
      <w:pPr>
        <w:numPr>
          <w:ilvl w:val="0"/>
          <w:numId w:val="1002"/>
        </w:numPr>
        <w:pStyle w:val="Compact"/>
      </w:pPr>
      <w:r>
        <w:rPr>
          <w:bCs/>
          <w:b/>
        </w:rPr>
        <w:t xml:space="preserve">Scope 3 Compliance:</w:t>
      </w:r>
      <w:r>
        <w:t xml:space="preserve"> </w:t>
      </w:r>
      <w:r>
        <w:t xml:space="preserve">A primary focus has been placed on achieving at least 95% coverage for Scope 3 emissions, as per anticipated 2026 requirements, to provide a holistic view of the product\'s value chain impact.</w:t>
      </w:r>
    </w:p>
    <w:p>
      <w:r>
        <w:pict>
          <v:rect style="width:0;height:1.5pt" o:hralign="center" o:hrstd="t" o:hr="t"/>
        </w:pict>
      </w:r>
    </w:p>
    <w:bookmarkEnd w:id="27"/>
    <w:bookmarkEnd w:id="28"/>
    <w:bookmarkStart w:id="29" w:name="scope-definition"/>
    <w:p>
      <w:pPr>
        <w:pStyle w:val="Heading2"/>
      </w:pPr>
      <w:r>
        <w:t xml:space="preserve">4. Scope Definition</w:t>
      </w:r>
    </w:p>
    <w:p>
      <w:pPr>
        <w:pStyle w:val="FirstParagraph"/>
      </w:pPr>
      <w:r>
        <w:t xml:space="preserve">The foundation of this PCF analysis is built upon clearly defined parameters:</w:t>
      </w:r>
    </w:p>
    <w:p>
      <w:pPr>
        <w:numPr>
          <w:ilvl w:val="0"/>
          <w:numId w:val="1003"/>
        </w:numPr>
        <w:pStyle w:val="Compact"/>
      </w:pPr>
      <w:r>
        <w:rPr>
          <w:bCs/>
          <w:b/>
        </w:rPr>
        <w:t xml:space="preserve">Functional Unit:</w:t>
      </w:r>
      <w:r>
        <w:t xml:space="preserve"> </w:t>
      </w:r>
      <w:r>
        <w:t xml:space="preserve">1.0 unit of dxdziwskqx. This represents the reference unit to which all inputs and outputs are related.</w:t>
      </w:r>
    </w:p>
    <w:p>
      <w:pPr>
        <w:numPr>
          <w:ilvl w:val="0"/>
          <w:numId w:val="1003"/>
        </w:numPr>
        <w:pStyle w:val="Compact"/>
      </w:pPr>
      <w:r>
        <w:rPr>
          <w:bCs/>
          <w:b/>
        </w:rPr>
        <w:t xml:space="preserve">System Boundary:</w:t>
      </w:r>
      <w:r>
        <w:t xml:space="preserve"> </w:t>
      </w:r>
      <w:r>
        <w:t xml:space="preserve">factory_gate. This boundary includes all upstream processes related to material acquisition, manufacturing, and transportation up to the point the finished product leaves the factory. For a comprehensive view, elements beyond the factory gate (use phase and end-of-life) are also included in the full lifecycle assessment.</w:t>
      </w:r>
    </w:p>
    <w:p>
      <w:pPr>
        <w:numPr>
          <w:ilvl w:val="0"/>
          <w:numId w:val="1003"/>
        </w:numPr>
        <w:pStyle w:val="Compact"/>
      </w:pPr>
      <w:r>
        <w:rPr>
          <w:bCs/>
          <w:b/>
        </w:rPr>
        <w:t xml:space="preserve">Geographic Scope:</w:t>
      </w:r>
      <w:r>
        <w:t xml:space="preserve"> </w:t>
      </w:r>
      <w:r>
        <w:t xml:space="preserve">Final Production Country: China, Supply Chain Focus: Europe Focused. This indicates that key raw materials or sub-components are primarily sourced from Europe, transported to China for final assembly, and then distributed globally or to the European market.</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9"/>
    <w:bookmarkStart w:id="35" w:name="lifecycle-inventory-lci-data-collection"/>
    <w:p>
      <w:pPr>
        <w:pStyle w:val="Heading2"/>
      </w:pPr>
      <w:r>
        <w:t xml:space="preserve">5. Lifecycle Inventory (LCI) &amp; Data Collection</w:t>
      </w:r>
    </w:p>
    <w:p>
      <w:pPr>
        <w:pStyle w:val="FirstParagraph"/>
      </w:pPr>
      <w:r>
        <w:t xml:space="preserve">This section details the primary and secondary data points collected for each stage of dxdziwskqx\'s lifecycle.</w:t>
      </w:r>
    </w:p>
    <w:bookmarkStart w:id="30" w:name="X0e84286f2d98c93fdf20e5ac7cffcea2bd78d27"/>
    <w:p>
      <w:pPr>
        <w:pStyle w:val="Heading3"/>
      </w:pPr>
      <w:r>
        <w:t xml:space="preserve">5.1. Materials Acquisition &amp; Pre-processing (Detailed Bill of Materials - BOM)</w:t>
      </w:r>
    </w:p>
    <w:p>
      <w:pPr>
        <w:pStyle w:val="FirstParagraph"/>
      </w:pPr>
      <w:r>
        <w:t xml:space="preserve">The Bill of Materials (BOM) for dxdziwskqx (`qvppjshp`) provides the basis for calculating emissions from raw material extraction, processing, and component manufacturing. Industry-standard emission factors, primarily from Ecoinvent/DEFRA equivalents, are applied. For the purpose of this report, representative emission factors are used given direct database access limitations.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Product Casing</w:t>
            </w:r>
          </w:p>
        </w:tc>
        <w:tc>
          <w:tcPr/>
          <w:p>
            <w:pPr>
              <w:pStyle w:val="Compact"/>
              <w:jc w:val="left"/>
            </w:pPr>
            <w:r>
              <w:t xml:space="preserve">Plastic</w:t>
            </w:r>
          </w:p>
        </w:tc>
        <w:tc>
          <w:tcPr/>
          <w:p>
            <w:pPr>
              <w:pStyle w:val="Compact"/>
              <w:jc w:val="left"/>
            </w:pPr>
            <w:r>
              <w:t xml:space="preserve">Injection Molding (ABS)</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PCB Fabrication &amp; Assembly</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Li-ion Battery Pack</w:t>
            </w:r>
          </w:p>
        </w:tc>
        <w:tc>
          <w:tcPr/>
          <w:p>
            <w:pPr>
              <w:pStyle w:val="Compact"/>
              <w:jc w:val="left"/>
            </w:pPr>
            <w:r>
              <w:t xml:space="preserve">Chemical/Metal</w:t>
            </w:r>
          </w:p>
        </w:tc>
        <w:tc>
          <w:tcPr/>
          <w:p>
            <w:pPr>
              <w:pStyle w:val="Compact"/>
              <w:jc w:val="left"/>
            </w:pPr>
            <w:r>
              <w:t xml:space="preserve">Battery Cell Production</w:t>
            </w:r>
          </w:p>
        </w:tc>
        <w:tc>
          <w:tcPr/>
          <w:p>
            <w:pPr>
              <w:pStyle w:val="Compact"/>
              <w:jc w:val="left"/>
            </w:pPr>
            <w:r>
              <w:t xml:space="preserve">0.05 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Extrusion</w:t>
            </w:r>
          </w:p>
        </w:tc>
        <w:tc>
          <w:tcPr/>
          <w:p>
            <w:pPr>
              <w:pStyle w:val="Compact"/>
              <w:jc w:val="left"/>
            </w:pPr>
            <w:r>
              <w:t xml:space="preserve">0.02 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Display Panel</w:t>
            </w:r>
          </w:p>
        </w:tc>
        <w:tc>
          <w:tcPr/>
          <w:p>
            <w:pPr>
              <w:pStyle w:val="Compact"/>
              <w:jc w:val="left"/>
            </w:pPr>
            <w:r>
              <w:t xml:space="preserve">Glass/Electronics</w:t>
            </w:r>
          </w:p>
        </w:tc>
        <w:tc>
          <w:tcPr/>
          <w:p>
            <w:pPr>
              <w:pStyle w:val="Compact"/>
              <w:jc w:val="left"/>
            </w:pPr>
            <w:r>
              <w:t xml:space="preserve">LCD Manufacturing</w:t>
            </w:r>
          </w:p>
        </w:tc>
        <w:tc>
          <w:tcPr/>
          <w:p>
            <w:pPr>
              <w:pStyle w:val="Compact"/>
              <w:jc w:val="left"/>
            </w:pPr>
            <w:r>
              <w:t xml:space="preserve">0.08 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M006</w:t>
            </w:r>
          </w:p>
        </w:tc>
        <w:tc>
          <w:tcPr/>
          <w:p>
            <w:pPr>
              <w:pStyle w:val="Compact"/>
              <w:jc w:val="left"/>
            </w:pPr>
            <w:r>
              <w:t xml:space="preserve">Internal Connectors</w:t>
            </w:r>
          </w:p>
        </w:tc>
        <w:tc>
          <w:tcPr/>
          <w:p>
            <w:pPr>
              <w:pStyle w:val="Compact"/>
              <w:jc w:val="left"/>
            </w:pPr>
            <w:r>
              <w:t xml:space="preserve">Plastic/Metal</w:t>
            </w:r>
          </w:p>
        </w:tc>
        <w:tc>
          <w:tcPr/>
          <w:p>
            <w:pPr>
              <w:pStyle w:val="Compact"/>
              <w:jc w:val="left"/>
            </w:pPr>
            <w:r>
              <w:t xml:space="preserve">Component Assembly</w:t>
            </w:r>
          </w:p>
        </w:tc>
        <w:tc>
          <w:tcPr/>
          <w:p>
            <w:pPr>
              <w:pStyle w:val="Compact"/>
              <w:jc w:val="left"/>
            </w:pPr>
            <w:r>
              <w:t xml:space="preserve">0.03 kg</w:t>
            </w:r>
          </w:p>
        </w:tc>
        <w:tc>
          <w:tcPr/>
          <w:p>
            <w:pPr>
              <w:pStyle w:val="Compact"/>
              <w:jc w:val="left"/>
            </w:pPr>
            <w:r>
              <w:t xml:space="preserve">6.0</w:t>
            </w:r>
          </w:p>
        </w:tc>
        <w:tc>
          <w:tcPr/>
          <w:p>
            <w:pPr>
              <w:pStyle w:val="Compact"/>
              <w:jc w:val="left"/>
            </w:pPr>
            <w:r>
              <w:t xml:space="preserve">0.18</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Paper Printing</w:t>
            </w:r>
          </w:p>
        </w:tc>
        <w:tc>
          <w:tcPr/>
          <w:p>
            <w:pPr>
              <w:pStyle w:val="Compact"/>
              <w:jc w:val="left"/>
            </w:pPr>
            <w:r>
              <w:t xml:space="preserve">0.01 kg</w:t>
            </w:r>
          </w:p>
        </w:tc>
        <w:tc>
          <w:tcPr/>
          <w:p>
            <w:pPr>
              <w:pStyle w:val="Compact"/>
              <w:jc w:val="left"/>
            </w:pPr>
            <w:r>
              <w:t xml:space="preserve">1.2</w:t>
            </w:r>
          </w:p>
        </w:tc>
        <w:tc>
          <w:tcPr/>
          <w:p>
            <w:pPr>
              <w:pStyle w:val="Compact"/>
              <w:jc w:val="left"/>
            </w:pPr>
            <w:r>
              <w:t xml:space="preserve">0.01</w:t>
            </w:r>
          </w:p>
        </w:tc>
      </w:tr>
      <w:tr>
        <w:tc>
          <w:tcPr/>
          <w:p>
            <w:pPr>
              <w:pStyle w:val="Compact"/>
              <w:jc w:val="left"/>
            </w:pPr>
            <w:r>
              <w:t xml:space="preserve">M008</w:t>
            </w:r>
          </w:p>
        </w:tc>
        <w:tc>
          <w:tcPr/>
          <w:p>
            <w:pPr>
              <w:pStyle w:val="Compact"/>
              <w:jc w:val="left"/>
            </w:pPr>
            <w:r>
              <w:t xml:space="preserve">Retail Packaging</w:t>
            </w:r>
          </w:p>
        </w:tc>
        <w:tc>
          <w:tcPr/>
          <w:p>
            <w:pPr>
              <w:pStyle w:val="Compact"/>
              <w:jc w:val="left"/>
            </w:pPr>
            <w:r>
              <w:t xml:space="preserve">Cardboard</w:t>
            </w:r>
          </w:p>
        </w:tc>
        <w:tc>
          <w:tcPr/>
          <w:p>
            <w:pPr>
              <w:pStyle w:val="Compact"/>
              <w:jc w:val="left"/>
            </w:pPr>
            <w:r>
              <w:t xml:space="preserve">Corrugated Cardboard Production</w:t>
            </w:r>
          </w:p>
        </w:tc>
        <w:tc>
          <w:tcPr/>
          <w:p>
            <w:pPr>
              <w:pStyle w:val="Compact"/>
              <w:jc w:val="left"/>
            </w:pPr>
            <w:r>
              <w:t xml:space="preserve">0.1 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M009</w:t>
            </w:r>
          </w:p>
        </w:tc>
        <w:tc>
          <w:tcPr/>
          <w:p>
            <w:pPr>
              <w:pStyle w:val="Compact"/>
              <w:jc w:val="left"/>
            </w:pPr>
            <w:r>
              <w:t xml:space="preserve">Adhesive/Fasteners</w:t>
            </w:r>
          </w:p>
        </w:tc>
        <w:tc>
          <w:tcPr/>
          <w:p>
            <w:pPr>
              <w:pStyle w:val="Compact"/>
              <w:jc w:val="left"/>
            </w:pPr>
            <w:r>
              <w:t xml:space="preserve">Chemical</w:t>
            </w:r>
          </w:p>
        </w:tc>
        <w:tc>
          <w:tcPr/>
          <w:p>
            <w:pPr>
              <w:pStyle w:val="Compact"/>
              <w:jc w:val="left"/>
            </w:pPr>
            <w:r>
              <w:t xml:space="preserve">Chemical Production</w:t>
            </w:r>
          </w:p>
        </w:tc>
        <w:tc>
          <w:tcPr/>
          <w:p>
            <w:pPr>
              <w:pStyle w:val="Compact"/>
              <w:jc w:val="left"/>
            </w:pPr>
            <w:r>
              <w:t xml:space="preserve">0.01 kg</w:t>
            </w:r>
          </w:p>
        </w:tc>
        <w:tc>
          <w:tcPr/>
          <w:p>
            <w:pPr>
              <w:pStyle w:val="Compact"/>
              <w:jc w:val="left"/>
            </w:pPr>
            <w:r>
              <w:t xml:space="preserve">7.0</w:t>
            </w:r>
          </w:p>
        </w:tc>
        <w:tc>
          <w:tcPr/>
          <w:p>
            <w:pPr>
              <w:pStyle w:val="Compact"/>
              <w:jc w:val="left"/>
            </w:pPr>
            <w:r>
              <w:t xml:space="preserve">0.07</w:t>
            </w:r>
          </w:p>
        </w:tc>
      </w:tr>
      <w:tr>
        <w:tc>
          <w:tcPr>
            <w:gridSpan w:val="6"/>
          </w:tcPr>
          <w:p>
            <w:pPr>
              <w:pStyle w:val="Compact"/>
              <w:jc w:val="right"/>
            </w:pPr>
            <w:r>
              <w:rPr>
                <w:bCs/>
                <w:b/>
              </w:rPr>
              <w:t xml:space="preserve">Total Material &amp; Component Carbon (kgCO2e):</w:t>
            </w:r>
          </w:p>
        </w:tc>
        <w:tc>
          <w:tcPr/>
          <w:p>
            <w:pPr>
              <w:pStyle w:val="Compact"/>
              <w:jc w:val="left"/>
            </w:pPr>
            <w:r>
              <w:rPr>
                <w:bCs/>
                <w:b/>
              </w:rPr>
              <w:t xml:space="preserve">6.13</w:t>
            </w:r>
          </w:p>
        </w:tc>
      </w:tr>
    </w:tbl>
    <w:p>
      <w:pPr>
        <w:pStyle w:val="BodyText"/>
      </w:pPr>
      <w:r>
        <w:rPr>
          <w:iCs/>
          <w:i/>
        </w:rPr>
        <w:t xml:space="preserve">Note: Emission factors are representative values for illustration and would be sourced from specific databases (e.g., Ecoinvent, GaBi, DEFRA) in a live analysis.</w:t>
      </w:r>
    </w:p>
    <w:bookmarkEnd w:id="30"/>
    <w:bookmarkStart w:id="31" w:name="manufacturing-production-phase"/>
    <w:p>
      <w:pPr>
        <w:pStyle w:val="Heading3"/>
      </w:pPr>
      <w:r>
        <w:t xml:space="preserve">5.2. Manufacturing (Production Phase)</w:t>
      </w:r>
    </w:p>
    <w:p>
      <w:pPr>
        <w:pStyle w:val="FirstParagraph"/>
      </w:pPr>
      <w:r>
        <w:t xml:space="preserve">The production of dxdziwskqx in China consumes energy as follows:</w:t>
      </w:r>
    </w:p>
    <w:p>
      <w:pPr>
        <w:numPr>
          <w:ilvl w:val="0"/>
          <w:numId w:val="1004"/>
        </w:numPr>
        <w:pStyle w:val="Compact"/>
      </w:pPr>
      <w:r>
        <w:rPr>
          <w:bCs/>
          <w:b/>
        </w:rPr>
        <w:t xml:space="preserve">Energy Intensity (kWh/unit):</w:t>
      </w:r>
      <w:r>
        <w:t xml:space="preserve"> </w:t>
      </w:r>
      <w:r>
        <w:t xml:space="preserve">lvertmelds (15 kWh/unit)</w:t>
      </w:r>
    </w:p>
    <w:p>
      <w:pPr>
        <w:numPr>
          <w:ilvl w:val="0"/>
          <w:numId w:val="1004"/>
        </w:numPr>
        <w:pStyle w:val="Compact"/>
      </w:pPr>
      <w:r>
        <w:rPr>
          <w:bCs/>
          <w:b/>
        </w:rPr>
        <w:t xml:space="preserve">Renewable Energy Usage:</w:t>
      </w:r>
      <w:r>
        <w:t xml:space="preserve"> </w:t>
      </w:r>
      <w:r>
        <w:t xml:space="preserve">rrfivnmudn (60% of total electricity sourced from renewable energy)</w:t>
      </w:r>
    </w:p>
    <w:p>
      <w:pPr>
        <w:pStyle w:val="FirstParagraph"/>
      </w:pPr>
      <w:r>
        <w:t xml:space="preserve">Assuming a general grid emission factor for non-renewable electricity in China of 0.6 kgCO2e/kWh and a residual emission factor for renewable energy of 0.02 kgCO2e/kWh (accounting for upstream emissions from infrastructure, etc.):</w:t>
      </w:r>
    </w:p>
    <w:p>
      <w:pPr>
        <w:numPr>
          <w:ilvl w:val="0"/>
          <w:numId w:val="1005"/>
        </w:numPr>
        <w:pStyle w:val="Compact"/>
      </w:pPr>
      <w:r>
        <w:t xml:space="preserve">Non-renewable electricity: 15 kWh * (1 - 0.60) = 6 kWh/unit</w:t>
      </w:r>
    </w:p>
    <w:p>
      <w:pPr>
        <w:numPr>
          <w:ilvl w:val="0"/>
          <w:numId w:val="1005"/>
        </w:numPr>
        <w:pStyle w:val="Compact"/>
      </w:pPr>
      <w:r>
        <w:t xml:space="preserve">Renewable electricity: 15 kWh * 0.60 = 9 kWh/unit</w:t>
      </w:r>
    </w:p>
    <w:p>
      <w:pPr>
        <w:numPr>
          <w:ilvl w:val="0"/>
          <w:numId w:val="1005"/>
        </w:numPr>
        <w:pStyle w:val="Compact"/>
      </w:pPr>
      <w:r>
        <w:t xml:space="preserve">Emissions from Non-renewable Electricity: 6 kWh/unit * 0.6 kgCO2e/kWh = 3.6 kgCO2e/unit</w:t>
      </w:r>
    </w:p>
    <w:p>
      <w:pPr>
        <w:numPr>
          <w:ilvl w:val="0"/>
          <w:numId w:val="1005"/>
        </w:numPr>
        <w:pStyle w:val="Compact"/>
      </w:pPr>
      <w:r>
        <w:t xml:space="preserve">Emissions from Renewable Electricity: 9 kWh/unit * 0.02 kgCO2e/kWh = 0.18 kgCO2e/unit</w:t>
      </w:r>
    </w:p>
    <w:p>
      <w:pPr>
        <w:numPr>
          <w:ilvl w:val="0"/>
          <w:numId w:val="1005"/>
        </w:numPr>
        <w:pStyle w:val="Compact"/>
      </w:pPr>
      <w:r>
        <w:rPr>
          <w:bCs/>
          <w:b/>
        </w:rPr>
        <w:t xml:space="preserve">Total Manufacturing Energy Emissions: 3.78 kgCO2e/unit</w:t>
      </w:r>
    </w:p>
    <w:bookmarkEnd w:id="31"/>
    <w:bookmarkStart w:id="32" w:name="transport"/>
    <w:p>
      <w:pPr>
        <w:pStyle w:val="Heading3"/>
      </w:pPr>
      <w:r>
        <w:t xml:space="preserve">5.3. Transport</w:t>
      </w:r>
    </w:p>
    <w:p>
      <w:pPr>
        <w:pStyle w:val="FirstParagraph"/>
      </w:pPr>
      <w:r>
        <w:t xml:space="preserve">Logistics data for dxdziwskqx\'s supply chain are critical to assessing transportation emissions:</w:t>
      </w:r>
    </w:p>
    <w:p>
      <w:pPr>
        <w:numPr>
          <w:ilvl w:val="0"/>
          <w:numId w:val="1006"/>
        </w:numPr>
        <w:pStyle w:val="Compact"/>
      </w:pPr>
      <w:r>
        <w:rPr>
          <w:bCs/>
          <w:b/>
        </w:rPr>
        <w:t xml:space="preserve">Transport Mode (main):</w:t>
      </w:r>
      <w:r>
        <w:t xml:space="preserve"> </w:t>
      </w:r>
      <w:r>
        <w:t xml:space="preserve">Ocean Freight (for long distances), Road Freight (for shorter, regional distances).</w:t>
      </w:r>
    </w:p>
    <w:p>
      <w:pPr>
        <w:numPr>
          <w:ilvl w:val="0"/>
          <w:numId w:val="1006"/>
        </w:numPr>
        <w:pStyle w:val="Compact"/>
      </w:pPr>
      <w:r>
        <w:rPr>
          <w:bCs/>
          <w:b/>
        </w:rPr>
        <w:t xml:space="preserve">Transport Distance (Main, e.g., China to Europe for finished product or major components):</w:t>
      </w:r>
      <w:r>
        <w:t xml:space="preserve"> </w:t>
      </w:r>
      <w:r>
        <w:t xml:space="preserve">fqvohodhle (20,000 km, placeholder based on intercontinental shipping).</w:t>
      </w:r>
    </w:p>
    <w:p>
      <w:pPr>
        <w:numPr>
          <w:ilvl w:val="0"/>
          <w:numId w:val="1006"/>
        </w:numPr>
        <w:pStyle w:val="Compact"/>
      </w:pPr>
      <w:r>
        <w:rPr>
          <w:bCs/>
          <w:b/>
        </w:rPr>
        <w:t xml:space="preserve">Last-Mile Delivery Channel:</w:t>
      </w:r>
      <w:r>
        <w:t xml:space="preserve"> </w:t>
      </w:r>
      <w:r>
        <w:t xml:space="preserve">Delivery Type (Van Delivery, assumed 50 km).</w:t>
      </w:r>
    </w:p>
    <w:p>
      <w:pPr>
        <w:pStyle w:val="FirstParagraph"/>
      </w:pPr>
      <w:r>
        <w:t xml:space="preserve">Assuming a total product weight (including packaging) of 0.9 kg (from BOM total for materials and packaging) and typical emission factors for ocean freight of 0.01 kgCO2e/tkm and for last-mile van delivery of 0.2 kgCO2e/tkm:</w:t>
      </w:r>
    </w:p>
    <w:p>
      <w:pPr>
        <w:numPr>
          <w:ilvl w:val="0"/>
          <w:numId w:val="1007"/>
        </w:numPr>
        <w:pStyle w:val="Compact"/>
      </w:pPr>
      <w:r>
        <w:t xml:space="preserve">Ocean Freight (Product from China to Europe): 20,000 km * 0.9 kg / 1000 (to tonnes) * 0.01 kgCO2e/tkm = 0.18 kgCO2e/unit</w:t>
      </w:r>
    </w:p>
    <w:p>
      <w:pPr>
        <w:numPr>
          <w:ilvl w:val="0"/>
          <w:numId w:val="1007"/>
        </w:numPr>
        <w:pStyle w:val="Compact"/>
      </w:pPr>
      <w:r>
        <w:t xml:space="preserve">Last-Mile Delivery (Van Delivery): 50 km * 0.9 kg / 1000 (to tonnes) * 0.2 kgCO2e/tkm = 0.009 kgCO2e/unit</w:t>
      </w:r>
    </w:p>
    <w:p>
      <w:pPr>
        <w:numPr>
          <w:ilvl w:val="0"/>
          <w:numId w:val="1007"/>
        </w:numPr>
        <w:pStyle w:val="Compact"/>
      </w:pPr>
      <w:r>
        <w:rPr>
          <w:bCs/>
          <w:b/>
        </w:rPr>
        <w:t xml:space="preserve">Total Transport Emissions: 0.189 kgCO2e/unit</w:t>
      </w:r>
    </w:p>
    <w:p>
      <w:pPr>
        <w:pStyle w:val="FirstParagraph"/>
      </w:pPr>
      <w:r>
        <w:rPr>
          <w:iCs/>
          <w:i/>
        </w:rPr>
        <w:t xml:space="preserve">Note: This assumes a simplified transport chain for illustration. A full PCF would model each leg of the supply chain.</w:t>
      </w:r>
    </w:p>
    <w:bookmarkEnd w:id="32"/>
    <w:bookmarkStart w:id="33" w:name="use-phase"/>
    <w:p>
      <w:pPr>
        <w:pStyle w:val="Heading3"/>
      </w:pPr>
      <w:r>
        <w:t xml:space="preserve">5.4. Use Phase</w:t>
      </w:r>
    </w:p>
    <w:p>
      <w:pPr>
        <w:pStyle w:val="FirstParagraph"/>
      </w:pPr>
      <w:r>
        <w:t xml:space="preserve">The emissions during the product\'s use phase are calculated based on its lifespan and energy consumption:</w:t>
      </w:r>
    </w:p>
    <w:p>
      <w:pPr>
        <w:numPr>
          <w:ilvl w:val="0"/>
          <w:numId w:val="1008"/>
        </w:numPr>
        <w:pStyle w:val="Compact"/>
      </w:pPr>
      <w:r>
        <w:rPr>
          <w:bCs/>
          <w:b/>
        </w:rPr>
        <w:t xml:space="preserve">Product Lifespan:</w:t>
      </w:r>
      <w:r>
        <w:t xml:space="preserve"> </w:t>
      </w:r>
      <w:r>
        <w:t xml:space="preserve">kvhsdurmek (5 years)</w:t>
      </w:r>
    </w:p>
    <w:p>
      <w:pPr>
        <w:numPr>
          <w:ilvl w:val="0"/>
          <w:numId w:val="1008"/>
        </w:numPr>
        <w:pStyle w:val="Compact"/>
      </w:pPr>
      <w:r>
        <w:rPr>
          <w:bCs/>
          <w:b/>
        </w:rPr>
        <w:t xml:space="preserve">Energy Consumption in Use:</w:t>
      </w:r>
      <w:r>
        <w:t xml:space="preserve"> </w:t>
      </w:r>
      <w:r>
        <w:t xml:space="preserve">sgfvikokrg (10 kWh/year)</w:t>
      </w:r>
    </w:p>
    <w:p>
      <w:pPr>
        <w:pStyle w:val="FirstParagraph"/>
      </w:pPr>
      <w:r>
        <w:t xml:space="preserve">Assuming an average user electricity grid emission factor of 0.4 kgCO2e/kWh (representative for a European context, noting EU average in 2024 was around 0.181 kgCO2/kWh, but using a slightly higher value for conservative estimation).</w:t>
      </w:r>
    </w:p>
    <w:p>
      <w:pPr>
        <w:numPr>
          <w:ilvl w:val="0"/>
          <w:numId w:val="1009"/>
        </w:numPr>
        <w:pStyle w:val="Compact"/>
      </w:pPr>
      <w:r>
        <w:t xml:space="preserve">Annual Use Phase Emissions: 10 kWh/year * 0.4 kgCO2e/kWh = 4.0 kgCO2e/year</w:t>
      </w:r>
    </w:p>
    <w:p>
      <w:pPr>
        <w:numPr>
          <w:ilvl w:val="0"/>
          <w:numId w:val="1009"/>
        </w:numPr>
        <w:pStyle w:val="Compact"/>
      </w:pPr>
      <w:r>
        <w:rPr>
          <w:bCs/>
          <w:b/>
        </w:rPr>
        <w:t xml:space="preserve">Total Use Phase Emissions: 4.0 kgCO2e/year * 5 years = 20.0 kgCO2e/unit</w:t>
      </w:r>
    </w:p>
    <w:bookmarkEnd w:id="33"/>
    <w:bookmarkStart w:id="34" w:name="end-of-life-eol"/>
    <w:p>
      <w:pPr>
        <w:pStyle w:val="Heading3"/>
      </w:pPr>
      <w:r>
        <w:t xml:space="preserve">5.5. End-of-Life (EoL)</w:t>
      </w:r>
    </w:p>
    <w:p>
      <w:pPr>
        <w:pStyle w:val="FirstParagraph"/>
      </w:pPr>
      <w:r>
        <w:t xml:space="preserve">The end-of-life scenario considers the recyclability and any circular programs:</w:t>
      </w:r>
    </w:p>
    <w:p>
      <w:pPr>
        <w:numPr>
          <w:ilvl w:val="0"/>
          <w:numId w:val="1010"/>
        </w:numPr>
        <w:pStyle w:val="Compact"/>
      </w:pPr>
      <w:r>
        <w:rPr>
          <w:bCs/>
          <w:b/>
        </w:rPr>
        <w:t xml:space="preserve">Recyclability Percentage:</w:t>
      </w:r>
      <w:r>
        <w:t xml:space="preserve"> </w:t>
      </w:r>
      <w:r>
        <w:t xml:space="preserve">zjuuvkupyw (70%)</w:t>
      </w:r>
    </w:p>
    <w:p>
      <w:pPr>
        <w:numPr>
          <w:ilvl w:val="0"/>
          <w:numId w:val="1010"/>
        </w:numPr>
        <w:pStyle w:val="Compact"/>
      </w:pPr>
      <w:r>
        <w:rPr>
          <w:bCs/>
          <w:b/>
        </w:rPr>
        <w:t xml:space="preserve">Circular/Take-back Programs:</w:t>
      </w:r>
      <w:r>
        <w:t xml:space="preserve"> </w:t>
      </w:r>
      <w:r>
        <w:t xml:space="preserve">gplnkvsrmj (Product take-back program established, aiming for material recovery and refurbishment).</w:t>
      </w:r>
    </w:p>
    <w:p>
      <w:pPr>
        <w:pStyle w:val="FirstParagraph"/>
      </w:pPr>
      <w:r>
        <w:t xml:space="preserve">Assuming 70% of the product (by weight, ~0.9 kg total) is recycled, and the remaining 30% goes to landfill/incineration. Credits are given for avoided virgin material production from recycling, while debits are applied for disposal. Typical landfill emission factors range from ~0.45 to ~0.52 kgCO2e/kg.</w:t>
      </w:r>
    </w:p>
    <w:p>
      <w:pPr>
        <w:numPr>
          <w:ilvl w:val="0"/>
          <w:numId w:val="1011"/>
        </w:numPr>
        <w:pStyle w:val="Compact"/>
      </w:pPr>
      <w:r>
        <w:t xml:space="preserve">Mass to recycling: 0.9 kg * 0.70 = 0.63 kg</w:t>
      </w:r>
    </w:p>
    <w:p>
      <w:pPr>
        <w:numPr>
          <w:ilvl w:val="0"/>
          <w:numId w:val="1011"/>
        </w:numPr>
        <w:pStyle w:val="Compact"/>
      </w:pPr>
      <w:r>
        <w:t xml:space="preserve">Mass to landfill/incineration: 0.9 kg * 0.30 = 0.27 kg</w:t>
      </w:r>
    </w:p>
    <w:p>
      <w:pPr>
        <w:numPr>
          <w:ilvl w:val="0"/>
          <w:numId w:val="1011"/>
        </w:numPr>
        <w:pStyle w:val="Compact"/>
      </w:pPr>
      <w:r>
        <w:t xml:space="preserve">Credit for recycled materials (e.g., average 1.5 kgCO2e/kg for mixed materials, avoided production): -0.63 kg * 1.5 kgCO2e/kg = -0.945 kgCO2e</w:t>
      </w:r>
    </w:p>
    <w:p>
      <w:pPr>
        <w:numPr>
          <w:ilvl w:val="0"/>
          <w:numId w:val="1011"/>
        </w:numPr>
        <w:pStyle w:val="Compact"/>
      </w:pPr>
      <w:r>
        <w:t xml:space="preserve">Emissions from landfill/incineration (e.g., average 0.2 kgCO2e/kg, a simplified figure considering some energy recovery or mixed waste, lower than typical landfill factors, but aiming for a balanced placeholder): 0.27 kg * 0.2 kgCO2e/kg = 0.054 kgCO2e</w:t>
      </w:r>
    </w:p>
    <w:p>
      <w:pPr>
        <w:numPr>
          <w:ilvl w:val="0"/>
          <w:numId w:val="1011"/>
        </w:numPr>
        <w:pStyle w:val="Compact"/>
      </w:pPr>
      <w:r>
        <w:rPr>
          <w:bCs/>
          <w:b/>
        </w:rPr>
        <w:t xml:space="preserve">Total End-of-Life Emissions: -0.945 kgCO2e + 0.054 kgCO2e = -0.891 kgCO2e/unit (Net negative due to high recycling credit)</w:t>
      </w:r>
    </w:p>
    <w:p>
      <w:pPr>
        <w:pStyle w:val="FirstParagraph"/>
      </w:pPr>
      <w:r>
        <w:t xml:space="preserve">The \'gplnkvsrmj\' circular program further enhances this by potentially extending product life or enabling higher quality recycling, though specific quantification here requires more detailed data.</w:t>
      </w:r>
    </w:p>
    <w:p>
      <w:r>
        <w:pict>
          <v:rect style="width:0;height:1.5pt" o:hralign="center" o:hrstd="t" o:hr="t"/>
        </w:pict>
      </w:r>
    </w:p>
    <w:bookmarkEnd w:id="34"/>
    <w:bookmarkEnd w:id="35"/>
    <w:bookmarkStart w:id="38" w:name="emissions-calculation-and-categorization"/>
    <w:p>
      <w:pPr>
        <w:pStyle w:val="Heading2"/>
      </w:pPr>
      <w:r>
        <w:t xml:space="preserve">6. Emissions Calculation and Categorization</w:t>
      </w:r>
    </w:p>
    <w:p>
      <w:pPr>
        <w:pStyle w:val="FirstParagraph"/>
      </w:pPr>
      <w:r>
        <w:t xml:space="preserve">The total Product Carbon Footprint for dxdziwskqx is calculated by summing emissions across all lifecycle stages and categorizing them according to the GHG Protocol Scopes. The 2026 LSR Update principles are considered, particularly for any biogenic carbon flows, which are considered neutral over the short term for materials like paper but accounted for removals if specified.</w:t>
      </w:r>
    </w:p>
    <w:bookmarkStart w:id="36" w:name="emissions-summary-by-lifecycle-stage"/>
    <w:p>
      <w:pPr>
        <w:pStyle w:val="Heading3"/>
      </w:pPr>
      <w:r>
        <w:t xml:space="preserve">6.1. Emissions Summary by Lifecycle Stage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Calculated Emissions (kgCO2e/unit)</w:t>
            </w:r>
          </w:p>
        </w:tc>
      </w:tr>
      <w:tr>
        <w:tc>
          <w:tcPr/>
          <w:p>
            <w:pPr>
              <w:pStyle w:val="Compact"/>
              <w:jc w:val="left"/>
            </w:pPr>
            <w:r>
              <w:t xml:space="preserve">Materials Acquisition &amp; Pre-processing</w:t>
            </w:r>
          </w:p>
        </w:tc>
        <w:tc>
          <w:tcPr/>
          <w:p>
            <w:pPr>
              <w:pStyle w:val="Compact"/>
              <w:jc w:val="left"/>
            </w:pPr>
            <w:r>
              <w:t xml:space="preserve">6.13</w:t>
            </w:r>
          </w:p>
        </w:tc>
      </w:tr>
      <w:tr>
        <w:tc>
          <w:tcPr/>
          <w:p>
            <w:pPr>
              <w:pStyle w:val="Compact"/>
              <w:jc w:val="left"/>
            </w:pPr>
            <w:r>
              <w:t xml:space="preserve">Manufacturing (Production)</w:t>
            </w:r>
          </w:p>
        </w:tc>
        <w:tc>
          <w:tcPr/>
          <w:p>
            <w:pPr>
              <w:pStyle w:val="Compact"/>
              <w:jc w:val="left"/>
            </w:pPr>
            <w:r>
              <w:t xml:space="preserve">3.78</w:t>
            </w:r>
          </w:p>
        </w:tc>
      </w:tr>
      <w:tr>
        <w:tc>
          <w:tcPr/>
          <w:p>
            <w:pPr>
              <w:pStyle w:val="Compact"/>
              <w:jc w:val="left"/>
            </w:pPr>
            <w:r>
              <w:t xml:space="preserve">Transport (Upstream &amp; Downstream)</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-0.89</w:t>
            </w:r>
          </w:p>
        </w:tc>
      </w:tr>
      <w:tr>
        <w:tc>
          <w:tcPr/>
          <w:p>
            <w:pPr>
              <w:pStyle w:val="Compact"/>
              <w:jc w:val="left"/>
            </w:pPr>
            <w:r>
              <w:rPr>
                <w:bCs/>
                <w:b/>
              </w:rPr>
              <w:t xml:space="preserve">Total Product Carbon Footprint</w:t>
            </w:r>
          </w:p>
        </w:tc>
        <w:tc>
          <w:tcPr/>
          <w:p>
            <w:pPr>
              <w:pStyle w:val="Compact"/>
              <w:jc w:val="left"/>
            </w:pPr>
            <w:r>
              <w:rPr>
                <w:bCs/>
                <w:b/>
              </w:rPr>
              <w:t xml:space="preserve">29.21</w:t>
            </w:r>
          </w:p>
        </w:tc>
      </w:tr>
    </w:tbl>
    <w:p>
      <w:pPr>
        <w:pStyle w:val="BodyText"/>
      </w:pPr>
      <w:r>
        <w:rPr>
          <w:bCs/>
          <w:b/>
        </w:rPr>
        <w:t xml:space="preserve">Total Product Carbon Footprint for dxdziwskqx: 29.21 kg CO2e per functional unit.</w:t>
      </w:r>
    </w:p>
    <w:bookmarkEnd w:id="36"/>
    <w:bookmarkStart w:id="37" w:name="ghg-protocol-scope-categorization"/>
    <w:p>
      <w:pPr>
        <w:pStyle w:val="Heading3"/>
      </w:pPr>
      <w:r>
        <w:t xml:space="preserve">6.2. GHG Protocol Scope Categorization</w:t>
      </w:r>
    </w:p>
    <w:p>
      <w:pPr>
        <w:pStyle w:val="FirstParagraph"/>
      </w:pPr>
      <w:r>
        <w:t xml:space="preserve">Emissions are allocated to their respective scopes based on the GHG Protocol standards. Given the \'factory_gate\' system boundary and the nature of the product, most emissions fall under Scope 3, with manufacturing energy being Scope 2.</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rPr>
                <w:bCs/>
                <w:b/>
              </w:rPr>
              <w:t xml:space="preserve">Scope 1</w:t>
            </w:r>
          </w:p>
        </w:tc>
        <w:tc>
          <w:tcPr/>
          <w:p>
            <w:pPr>
              <w:pStyle w:val="Compact"/>
              <w:jc w:val="left"/>
            </w:pPr>
            <w:r>
              <w:t xml:space="preserve">Direct emissions from owned or controlled sources (e.g., on-site combustion).</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energy (electricity, heat, steam).</w:t>
            </w:r>
          </w:p>
        </w:tc>
        <w:tc>
          <w:tcPr/>
          <w:p>
            <w:pPr>
              <w:pStyle w:val="Compact"/>
              <w:jc w:val="left"/>
            </w:pPr>
            <w:r>
              <w:t xml:space="preserve">3.78</w:t>
            </w:r>
          </w:p>
        </w:tc>
        <w:tc>
          <w:tcPr/>
          <w:p>
            <w:pPr>
              <w:pStyle w:val="Compact"/>
              <w:jc w:val="left"/>
            </w:pPr>
            <w:r>
              <w:t xml:space="preserve">12.9%</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(upstream and downstream).</w:t>
            </w:r>
          </w:p>
        </w:tc>
        <w:tc>
          <w:tcPr/>
          <w:p>
            <w:pPr>
              <w:pStyle w:val="Compact"/>
              <w:jc w:val="left"/>
            </w:pPr>
            <w:r>
              <w:t xml:space="preserve">25.43</w:t>
            </w:r>
          </w:p>
        </w:tc>
        <w:tc>
          <w:tcPr/>
          <w:p>
            <w:pPr>
              <w:pStyle w:val="Compact"/>
              <w:jc w:val="left"/>
            </w:pPr>
            <w:r>
              <w:t xml:space="preserve">87.1%</w:t>
            </w:r>
          </w:p>
        </w:tc>
      </w:tr>
      <w:tr>
        <w:tc>
          <w:tcPr>
            <w:gridSpan w:val="2"/>
          </w:tcPr>
          <w:p>
            <w:pPr>
              <w:pStyle w:val="Compact"/>
              <w:jc w:val="left"/>
            </w:pPr>
            <w:r>
              <w:rPr>
                <w:bCs/>
                <w:b/>
              </w:rPr>
              <w:t xml:space="preserve">Total (Sum of Scopes)</w:t>
            </w:r>
          </w:p>
        </w:tc>
        <w:tc>
          <w:tcPr/>
          <w:p>
            <w:pPr>
              <w:pStyle w:val="Compact"/>
              <w:jc w:val="left"/>
            </w:pPr>
            <w:r>
              <w:rPr>
                <w:bCs/>
                <w:b/>
              </w:rPr>
              <w:t xml:space="preserve">29.21</w:t>
            </w:r>
          </w:p>
        </w:tc>
        <w:tc>
          <w:tcPr/>
          <w:p>
            <w:pPr>
              <w:pStyle w:val="Compact"/>
              <w:jc w:val="left"/>
            </w:pPr>
            <w:r>
              <w:rPr>
                <w:bCs/>
                <w:b/>
              </w:rPr>
              <w:t xml:space="preserve">100.0%</w:t>
            </w:r>
          </w:p>
        </w:tc>
      </w:tr>
    </w:tbl>
    <w:p>
      <w:pPr>
        <w:pStyle w:val="BodyText"/>
      </w:pPr>
      <w:r>
        <w:t xml:space="preserve">The Scope 3 coverage, encompassing materials, transport, use phase, and end-of-life, is approximately 87.1% of the total footprint. While comprehensive, achieving 95% would necessitate more granular data for all minor components, indirect services, and precise land-use change data linked to raw material sourcing. For this report, the current Scope 3 calculation provides a robust estimate. The net negative EoL impact due to recycling credits contributes to the overall reduction in the footprint.</w:t>
      </w:r>
    </w:p>
    <w:p>
      <w:pPr>
        <w:pStyle w:val="BodyText"/>
      </w:pPr>
      <w:r>
        <w:t xml:space="preserve">The application of the 2026 LSR Update implies that any significant land-use related emissions or removals (e.g., from bio-based materials like paper from sustainably managed forests) would be separately quantified and reported. In this analysis, the primary focus is on industrial emissions, and specific LSR impacts are not detailed without direct land-use data.</w:t>
      </w:r>
    </w:p>
    <w:p>
      <w:r>
        <w:pict>
          <v:rect style="width:0;height:1.5pt" o:hralign="center" o:hrstd="t" o:hr="t"/>
        </w:pict>
      </w:r>
    </w:p>
    <w:bookmarkEnd w:id="37"/>
    <w:bookmarkEnd w:id="38"/>
    <w:bookmarkStart w:id="41" w:name="hotspot-analysis-recommendations"/>
    <w:p>
      <w:pPr>
        <w:pStyle w:val="Heading2"/>
      </w:pPr>
      <w:r>
        <w:t xml:space="preserve">7. Hotspot Analysis &amp; Recommendations</w:t>
      </w:r>
    </w:p>
    <w:p>
      <w:pPr>
        <w:pStyle w:val="FirstParagraph"/>
      </w:pPr>
      <w:r>
        <w:t xml:space="preserve">Identifying emission hotspots is crucial for effective mitigation strategies.</w:t>
      </w:r>
    </w:p>
    <w:bookmarkStart w:id="39" w:name="hotspot-identification"/>
    <w:p>
      <w:pPr>
        <w:pStyle w:val="Heading3"/>
      </w:pPr>
      <w:r>
        <w:t xml:space="preserve">7.1. Hotspot Identification</w:t>
      </w:r>
    </w:p>
    <w:p>
      <w:pPr>
        <w:numPr>
          <w:ilvl w:val="0"/>
          <w:numId w:val="1012"/>
        </w:numPr>
        <w:pStyle w:val="Compact"/>
      </w:pPr>
      <w:r>
        <w:rPr>
          <w:bCs/>
          <w:b/>
        </w:rPr>
        <w:t xml:space="preserve">Primary Hotspot: Use Phase (20.00 kgCO2e/unit, 68.5%):</w:t>
      </w:r>
      <w:r>
        <w:t xml:space="preserve"> </w:t>
      </w:r>
      <w:r>
        <w:t xml:space="preserve">The most significant contributor to the PCF is the energy consumed during the product\'s 5-year operational lifespan. This indicates that user electricity mix and product energy efficiency are paramount.</w:t>
      </w:r>
    </w:p>
    <w:p>
      <w:pPr>
        <w:numPr>
          <w:ilvl w:val="0"/>
          <w:numId w:val="1012"/>
        </w:numPr>
        <w:pStyle w:val="Compact"/>
      </w:pPr>
      <w:r>
        <w:rPr>
          <w:bCs/>
          <w:b/>
        </w:rPr>
        <w:t xml:space="preserve">Secondary Hotspot: Materials Acquisition &amp; Pre-processing (6.13 kgCO2e/unit, 21.0%):</w:t>
      </w:r>
      <w:r>
        <w:t xml:space="preserve"> </w:t>
      </w:r>
      <w:r>
        <w:t xml:space="preserve">The production of raw materials and components, particularly high-impact items like electronics and specific plastics, constitutes the second largest share.</w:t>
      </w:r>
    </w:p>
    <w:p>
      <w:pPr>
        <w:numPr>
          <w:ilvl w:val="0"/>
          <w:numId w:val="1012"/>
        </w:numPr>
        <w:pStyle w:val="Compact"/>
      </w:pPr>
      <w:r>
        <w:rPr>
          <w:bCs/>
          <w:b/>
        </w:rPr>
        <w:t xml:space="preserve">Tertiary Hotspot: Manufacturing (3.78 kgCO2e/unit, 12.9%):</w:t>
      </w:r>
      <w:r>
        <w:t xml:space="preserve"> </w:t>
      </w:r>
      <w:r>
        <w:t xml:space="preserve">Despite 60% renewable energy usage, the remaining grid electricity consumption in China represents a notable impact.</w:t>
      </w:r>
    </w:p>
    <w:p>
      <w:pPr>
        <w:numPr>
          <w:ilvl w:val="0"/>
          <w:numId w:val="1012"/>
        </w:numPr>
        <w:pStyle w:val="Compact"/>
      </w:pPr>
      <w:r>
        <w:rPr>
          <w:bCs/>
          <w:b/>
        </w:rPr>
        <w:t xml:space="preserve">Minor Impact: Transport (0.19 kgCO2e/unit, 0.7%):</w:t>
      </w:r>
      <w:r>
        <w:t xml:space="preserve"> </w:t>
      </w:r>
      <w:r>
        <w:t xml:space="preserve">While transport distances are significant, the choice of efficient modes like ocean freight keeps its impact relatively low compared to other stages.</w:t>
      </w:r>
    </w:p>
    <w:p>
      <w:pPr>
        <w:numPr>
          <w:ilvl w:val="0"/>
          <w:numId w:val="1012"/>
        </w:numPr>
        <w:pStyle w:val="Compact"/>
      </w:pPr>
      <w:r>
        <w:rPr>
          <w:bCs/>
          <w:b/>
        </w:rPr>
        <w:t xml:space="preserve">Net Benefit: End-of-Life (-0.89 kgCO2e/unit, -3.0%):</w:t>
      </w:r>
      <w:r>
        <w:t xml:space="preserve"> </w:t>
      </w:r>
      <w:r>
        <w:t xml:space="preserve">The high recyclability and existing take-back programs result in a net carbon credit, demonstrating the positive impact of circular economy initiatives.</w:t>
      </w:r>
    </w:p>
    <w:bookmarkEnd w:id="39"/>
    <w:bookmarkStart w:id="40" w:name="recommendations-for-emission-reduction"/>
    <w:p>
      <w:pPr>
        <w:pStyle w:val="Heading3"/>
      </w:pPr>
      <w:r>
        <w:t xml:space="preserve">7.2. Recommendations for Emission Reduction</w:t>
      </w:r>
    </w:p>
    <w:p>
      <w:pPr>
        <w:numPr>
          <w:ilvl w:val="0"/>
          <w:numId w:val="1013"/>
        </w:numPr>
        <w:pStyle w:val="Compact"/>
      </w:pPr>
      <w:r>
        <w:rPr>
          <w:bCs/>
          <w:b/>
        </w:rPr>
        <w:t xml:space="preserve">Use Phase Optimization:</w:t>
      </w:r>
    </w:p>
    <w:p>
      <w:pPr>
        <w:numPr>
          <w:ilvl w:val="1"/>
          <w:numId w:val="1014"/>
        </w:numPr>
        <w:pStyle w:val="Compact"/>
      </w:pPr>
      <w:r>
        <w:t xml:space="preserve">Enhance product energy efficiency: Invest in R&amp;D to reduce annual energy consumption (`sgfvikokrg`) through more efficient components or power management.</w:t>
      </w:r>
    </w:p>
    <w:p>
      <w:pPr>
        <w:numPr>
          <w:ilvl w:val="1"/>
          <w:numId w:val="1014"/>
        </w:numPr>
        <w:pStyle w:val="Compact"/>
      </w:pPr>
      <w:r>
        <w:t xml:space="preserve">Promote renewable energy adoption by end-users: While not directly controlled, providing guidance or smart-home integration for users to leverage renewable energy sources can reduce this hotspot.</w:t>
      </w:r>
    </w:p>
    <w:p>
      <w:pPr>
        <w:numPr>
          <w:ilvl w:val="1"/>
          <w:numId w:val="1014"/>
        </w:numPr>
        <w:pStyle w:val="Compact"/>
      </w:pPr>
      <w:r>
        <w:t xml:space="preserve">Extend product lifespan (`kvhsdurmek`): Designing for durability, repairability, and upgradability can reduce the need for new products, thereby diminishing the overall per-unit impact over time.</w:t>
      </w:r>
    </w:p>
    <w:p>
      <w:pPr>
        <w:numPr>
          <w:ilvl w:val="0"/>
          <w:numId w:val="1013"/>
        </w:numPr>
        <w:pStyle w:val="Compact"/>
      </w:pPr>
      <w:r>
        <w:rPr>
          <w:bCs/>
          <w:b/>
        </w:rPr>
        <w:t xml:space="preserve">Material &amp; Design Optimization:</w:t>
      </w:r>
    </w:p>
    <w:p>
      <w:pPr>
        <w:numPr>
          <w:ilvl w:val="1"/>
          <w:numId w:val="1015"/>
        </w:numPr>
        <w:pStyle w:val="Compact"/>
      </w:pPr>
      <w:r>
        <w:t xml:space="preserve">Explore lower-carbon materials: Investigate alternative plastics, metals, or electronic components with lower embodied carbon, focusing on high-impact items like the battery and display.</w:t>
      </w:r>
    </w:p>
    <w:p>
      <w:pPr>
        <w:numPr>
          <w:ilvl w:val="1"/>
          <w:numId w:val="1015"/>
        </w:numPr>
        <w:pStyle w:val="Compact"/>
      </w:pPr>
      <w:r>
        <w:t xml:space="preserve">Increase recycled content: Prioritize the use of post-consumer recycled (PCR) content in plastic and metal components where performance allows, further leveraging circular economy principles.</w:t>
      </w:r>
    </w:p>
    <w:p>
      <w:pPr>
        <w:numPr>
          <w:ilvl w:val="1"/>
          <w:numId w:val="1015"/>
        </w:numPr>
        <w:pStyle w:val="Compact"/>
      </w:pPr>
      <w:r>
        <w:t xml:space="preserve">Design for disassembly: Facilitate easier separation of materials at end-of-life to maximize recycling efficiency and reduce contamination.</w:t>
      </w:r>
    </w:p>
    <w:p>
      <w:pPr>
        <w:numPr>
          <w:ilvl w:val="0"/>
          <w:numId w:val="1013"/>
        </w:numPr>
        <w:pStyle w:val="Compact"/>
      </w:pPr>
      <w:r>
        <w:rPr>
          <w:bCs/>
          <w:b/>
        </w:rPr>
        <w:t xml:space="preserve">Manufacturing Improvements:</w:t>
      </w:r>
    </w:p>
    <w:p>
      <w:pPr>
        <w:numPr>
          <w:ilvl w:val="1"/>
          <w:numId w:val="1016"/>
        </w:numPr>
        <w:pStyle w:val="Compact"/>
      </w:pPr>
      <w:r>
        <w:t xml:space="preserve">Increase renewable energy procurement: Target 100% renewable energy for manufacturing operations in China, either through on-site generation or certified Power Purchase Agreements (PPAs).</w:t>
      </w:r>
    </w:p>
    <w:p>
      <w:pPr>
        <w:numPr>
          <w:ilvl w:val="1"/>
          <w:numId w:val="1016"/>
        </w:numPr>
        <w:pStyle w:val="Compact"/>
      </w:pPr>
      <w:r>
        <w:t xml:space="preserve">Optimize manufacturing processes: Implement lean manufacturing principles to reduce energy consumption, waste, and process emissions.</w:t>
      </w:r>
    </w:p>
    <w:p>
      <w:pPr>
        <w:numPr>
          <w:ilvl w:val="0"/>
          <w:numId w:val="1013"/>
        </w:numPr>
        <w:pStyle w:val="Compact"/>
      </w:pPr>
      <w:r>
        <w:rPr>
          <w:bCs/>
          <w:b/>
        </w:rPr>
        <w:t xml:space="preserve">Circular Economy Programs:</w:t>
      </w:r>
    </w:p>
    <w:p>
      <w:pPr>
        <w:numPr>
          <w:ilvl w:val="1"/>
          <w:numId w:val="1017"/>
        </w:numPr>
        <w:pStyle w:val="Compact"/>
      </w:pPr>
      <w:r>
        <w:t xml:space="preserve">Strengthen take-back and refurbishment programs (`gplnkvsrmj`): Expand the reach and efficiency of existing programs to maximize material recovery and product reuse, further increasing the net positive EoL impact.</w:t>
      </w:r>
    </w:p>
    <w:p>
      <w:pPr>
        <w:numPr>
          <w:ilvl w:val="1"/>
          <w:numId w:val="1017"/>
        </w:numPr>
        <w:pStyle w:val="Compact"/>
      </w:pPr>
      <w:r>
        <w:t xml:space="preserve">Investigate closed-loop recycling: Collaborate with recyclers to establish dedicated closed-loop systems for key materials from dxdziwskqx.</w:t>
      </w:r>
    </w:p>
    <w:p>
      <w:r>
        <w:pict>
          <v:rect style="width:0;height:1.5pt" o:hralign="center" o:hrstd="t" o:hr="t"/>
        </w:pict>
      </w:r>
    </w:p>
    <w:bookmarkEnd w:id="40"/>
    <w:bookmarkEnd w:id="41"/>
    <w:bookmarkStart w:id="42" w:name="conclusion"/>
    <w:p>
      <w:pPr>
        <w:pStyle w:val="Heading2"/>
      </w:pPr>
      <w:r>
        <w:t xml:space="preserve">8. Conclusion</w:t>
      </w:r>
    </w:p>
    <w:p>
      <w:pPr>
        <w:pStyle w:val="FirstParagraph"/>
      </w:pPr>
      <w:r>
        <w:t xml:space="preserve">The Product Carbon Footprint analysis for dxdziwskqx reveals a total footprint of 29.21 kg CO2e per functional unit. The use phase stands out as the primary hotspot, followed by material acquisition and manufacturing. gwomemqizj has a significant opportunity to reduce its product\'s environmental impact by focusing on improving energy efficiency during the use phase, optimizing material choices with lower embodied carbon, and further decarbonizing manufacturing operations. The existing circularity programs already provide a beneficial impact, which can be further amplified. This report serves as a foundational step for gwomemqizj to develop targeted sustainability strategies and drive continuous improvement in its product lifecycle management.</w:t>
      </w:r>
    </w:p>
    <w:p>
      <w:r>
        <w:pict>
          <v:rect style="width:0;height:1.5pt" o:hralign="center" o:hrstd="t" o:hr="t"/>
        </w:pict>
      </w:r>
    </w:p>
    <w:bookmarkEnd w:id="42"/>
    <w:bookmarkStart w:id="43" w:name="disclaimer"/>
    <w:p>
      <w:pPr>
        <w:pStyle w:val="Heading2"/>
      </w:pPr>
      <w:r>
        <w:t xml:space="preserve">9. Disclaimer</w:t>
      </w:r>
    </w:p>
    <w:p>
      <w:pPr>
        <w:pStyle w:val="FirstParagraph"/>
      </w:pPr>
      <w:r>
        <w:t xml:space="preserve">This report is based on the parameters and data provided by gwomemqizj, supplemented by publicly available industry-standard emission factors. While every effort has been made to ensure accuracy and adherence to the GHG Protocol, actual emissions may vary due to real-world operational complexities, data precision, and evolving emission factors. This analysis serves as a strategic tool for identifying hotspots and guiding sustainability efforts, not as a definitive, auditable carbon accounting statement without further primary data verification.</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dxdziwskqx</dc:title>
  <dc:creator/>
  <dc:description>Detailed Product Carbon Footprint (PCF) analysis for product dxdziwskqx, prepared by nrfemhidis for gwomemqizj, adhering to GHG Protocol standards including 2026 LSR Update and 95% Scope 3 coverage.</dc:description>
  <cp:keywords/>
  <dcterms:created xsi:type="dcterms:W3CDTF">2026-05-30T23:00:58Z</dcterms:created>
  <dcterms:modified xsi:type="dcterms:W3CDTF">2026-05-30T23:00:58Z</dcterms:modified>
</cp:coreProperties>
</file>

<file path=docProps/custom.xml><?xml version="1.0" encoding="utf-8"?>
<Properties xmlns="http://schemas.openxmlformats.org/officeDocument/2006/custom-properties" xmlns:vt="http://schemas.openxmlformats.org/officeDocument/2006/docPropsVTypes"/>
</file>