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dwnqkzrnhk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dwnqkzrnhk</w:t>
      </w:r>
    </w:p>
    <w:p>
      <w:pPr>
        <w:pStyle w:val="BodyText"/>
      </w:pPr>
      <w:r>
        <w:rPr>
          <w:bCs/>
          <w:b/>
        </w:rPr>
        <w:t xml:space="preserve">Company:</w:t>
      </w:r>
      <w:r>
        <w:t xml:space="preserve"> </w:t>
      </w:r>
      <w:r>
        <w:t xml:space="preserve">nmnznoxdhs</w:t>
      </w:r>
    </w:p>
    <w:p>
      <w:pPr>
        <w:pStyle w:val="BodyText"/>
      </w:pPr>
      <w:r>
        <w:rPr>
          <w:bCs/>
          <w:b/>
        </w:rPr>
        <w:t xml:space="preserve">Senior Sustainability Consultant:</w:t>
      </w:r>
      <w:r>
        <w:t xml:space="preserve"> </w:t>
      </w:r>
      <w:r>
        <w:t xml:space="preserve">kfykxkrvdg</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illustrative assumptions where specific data was not provided. While efforts have been made to ensure accuracy and adherence to the GHG Protocol, actual emissions may vary. This report serves as a foundational assessment for further in-depth analysis and strategic decision-making.</w:t>
      </w:r>
    </w:p>
    <w:bookmarkEnd w:id="20"/>
    <w:p>
      <w:pPr>
        <w:pStyle w:val="BodyText"/>
      </w:pPr>
      <w:r>
        <w:t xml:space="preserve">Product Carbon Footprint Analysis - dwnqkzrnhk</w:t>
      </w:r>
    </w:p>
    <w:p>
      <w:pPr>
        <w:pStyle w:val="BodyText"/>
      </w:pPr>
      <w:r>
        <w:t xml:space="preserve">Confidential - Internal Use Only | Generated Date: May 19, 2026</w:t>
      </w:r>
    </w:p>
    <w:bookmarkStart w:id="49" w:name="executive-summary"/>
    <w:p>
      <w:pPr>
        <w:pStyle w:val="Heading1"/>
      </w:pPr>
      <w:r>
        <w:t xml:space="preserve">1. Executive Summary</w:t>
      </w:r>
    </w:p>
    <w:p>
      <w:pPr>
        <w:pStyle w:val="FirstParagraph"/>
      </w:pPr>
      <w:r>
        <w:t xml:space="preserve">This report presents a high-detail Product Carbon Footprint (PCF) analysis for dwnqkzrnhk, manufactured by nmnznoxdhs. The assessment was conducted by kfykxkrvdg, Senior Sustainability Consultant, adhering strictly to the GHG Protocol, including considerations for the upcoming 2026 Land Sector and Removals (LSR) Standard and ensuring at least 95% Scope 3 coverage. The primary goal is to quantify the greenhouse gas (GHG) emissions associated with the product\'s lifecycle, from raw material extraction to end-of-life, identify emission hotspots, and provide insights for sustainability improvements. The functional unit for this analysis is 1.0 unit of dwnqkzrnhk, with an initial system boundary at \'factory_gate\' for production emissions, which is then expanded to a full \'Cradle-to-Grave\' assessment to include downstream phases.</w:t>
      </w:r>
    </w:p>
    <w:p>
      <w:r>
        <w:pict>
          <v:rect style="width:0;height:1.5pt" o:hralign="center" o:hrstd="t" o:hr="t"/>
        </w:pict>
      </w:r>
    </w:p>
    <w:bookmarkStart w:id="26" w:name="methodology-and-scope-definition"/>
    <w:p>
      <w:pPr>
        <w:pStyle w:val="Heading2"/>
      </w:pPr>
      <w:r>
        <w:t xml:space="preserve">2. Methodology and Scope Definition</w:t>
      </w:r>
    </w:p>
    <w:p>
      <w:pPr>
        <w:pStyle w:val="FirstParagraph"/>
      </w:pPr>
      <w:r>
        <w:t xml:space="preserve">The Product Carbon Footprint analysis followed a systematic five-step methodology as per industry best practices and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Outline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points for each identified lifecycle stage.</w:t>
      </w:r>
    </w:p>
    <w:p>
      <w:pPr>
        <w:numPr>
          <w:ilvl w:val="0"/>
          <w:numId w:val="1001"/>
        </w:numPr>
        <w:pStyle w:val="Compact"/>
      </w:pPr>
      <w:r>
        <w:rPr>
          <w:bCs/>
          <w:b/>
        </w:rPr>
        <w:t xml:space="preserve">Calculate Emissions:</w:t>
      </w:r>
      <w:r>
        <w:t xml:space="preserve"> </w:t>
      </w:r>
      <w:r>
        <w:t xml:space="preserve">Quantify GHG emissions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1" w:name="functional-unit"/>
    <w:p>
      <w:pPr>
        <w:pStyle w:val="Heading3"/>
      </w:pPr>
      <w:r>
        <w:t xml:space="preserve">2.1. Functional Unit</w:t>
      </w:r>
    </w:p>
    <w:p>
      <w:pPr>
        <w:pStyle w:val="FirstParagraph"/>
      </w:pPr>
      <w:r>
        <w:t xml:space="preserve">The functional unit (FU) serves as a reference basis for quantifying inputs and outputs, allowing for comparability. For this analysis:</w:t>
      </w:r>
    </w:p>
    <w:p>
      <w:pPr>
        <w:numPr>
          <w:ilvl w:val="0"/>
          <w:numId w:val="1002"/>
        </w:numPr>
        <w:pStyle w:val="Compact"/>
      </w:pPr>
      <w:r>
        <w:rPr>
          <w:bCs/>
          <w:b/>
        </w:rPr>
        <w:t xml:space="preserve">Functional Unit:</w:t>
      </w:r>
      <w:r>
        <w:t xml:space="preserve"> </w:t>
      </w:r>
      <w:r>
        <w:t xml:space="preserve">1.0 unit of dwnqkzrnhk</w:t>
      </w:r>
    </w:p>
    <w:bookmarkEnd w:id="21"/>
    <w:bookmarkStart w:id="22" w:name="system-boundary"/>
    <w:p>
      <w:pPr>
        <w:pStyle w:val="Heading3"/>
      </w:pPr>
      <w:r>
        <w:t xml:space="preserve">2.2. System Boundary</w:t>
      </w:r>
    </w:p>
    <w:p>
      <w:pPr>
        <w:pStyle w:val="FirstParagraph"/>
      </w:pPr>
      <w:r>
        <w:t xml:space="preserve">The system boundary defines which lifecycle stages and processes are included in the assessment. This report adopts an initial \'factory_gate\' boundary for direct production operations, which is then expanded to a comprehensive \'Cradle-to-Grave\' approach to fully capture the product\'s lifecycle impacts.</w:t>
      </w:r>
    </w:p>
    <w:p>
      <w:pPr>
        <w:numPr>
          <w:ilvl w:val="0"/>
          <w:numId w:val="1003"/>
        </w:numPr>
        <w:pStyle w:val="Compact"/>
      </w:pPr>
      <w:r>
        <w:rPr>
          <w:bCs/>
          <w:b/>
        </w:rPr>
        <w:t xml:space="preserve">System Boundary:</w:t>
      </w:r>
      <w:r>
        <w:t xml:space="preserve"> </w:t>
      </w:r>
      <w:r>
        <w:t xml:space="preserve">factory_gate (for production processes, then expanded to full lifecycle)</w:t>
      </w:r>
    </w:p>
    <w:p>
      <w:pPr>
        <w:numPr>
          <w:ilvl w:val="0"/>
          <w:numId w:val="1003"/>
        </w:numPr>
        <w:pStyle w:val="Compact"/>
      </w:pPr>
      <w:r>
        <w:rPr>
          <w:bCs/>
          <w:b/>
        </w:rPr>
        <w:t xml:space="preserve">Included Stages:</w:t>
      </w:r>
      <w:r>
        <w:t xml:space="preserve"> </w:t>
      </w:r>
      <w:r>
        <w:t xml:space="preserve">Raw Material Acquisition, Manufacturing, Transport (upstream, factory-to-consumer, last-mile), Use Phase, End-of-Life.</w:t>
      </w:r>
    </w:p>
    <w:p>
      <w:pPr>
        <w:numPr>
          <w:ilvl w:val="0"/>
          <w:numId w:val="1003"/>
        </w:numPr>
        <w:pStyle w:val="Compact"/>
      </w:pPr>
      <w:r>
        <w:rPr>
          <w:bCs/>
          <w:b/>
        </w:rPr>
        <w:t xml:space="preserve">Excluded Stages:</w:t>
      </w:r>
      <w:r>
        <w:t xml:space="preserve"> </w:t>
      </w:r>
      <w:r>
        <w:t xml:space="preserve">No significant stages are excluded from the full PCF.</w:t>
      </w:r>
    </w:p>
    <w:bookmarkEnd w:id="22"/>
    <w:bookmarkStart w:id="23" w:name="geographic-scope"/>
    <w:p>
      <w:pPr>
        <w:pStyle w:val="Heading3"/>
      </w:pPr>
      <w:r>
        <w:t xml:space="preserve">2.3. Geographic Scope</w:t>
      </w:r>
    </w:p>
    <w:p>
      <w:pPr>
        <w:pStyle w:val="FirstParagraph"/>
      </w:pPr>
      <w:r>
        <w:t xml:space="preserve">The geographic scope influences the selection of relevant emission factors and contextual data.</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material sourcing and/or market distribution in Europe)</w:t>
      </w:r>
    </w:p>
    <w:bookmarkEnd w:id="23"/>
    <w:bookmarkStart w:id="24" w:name="accounting-standard"/>
    <w:p>
      <w:pPr>
        <w:pStyle w:val="Heading3"/>
      </w:pPr>
      <w:r>
        <w:t xml:space="preserve">2.4. Accounting Standard</w:t>
      </w:r>
    </w:p>
    <w:p>
      <w:pPr>
        <w:pStyle w:val="FirstParagraph"/>
      </w:pPr>
      <w:r>
        <w:t xml:space="preserve">The analysis strictly adheres to the specified accounting standard:</w:t>
      </w:r>
    </w:p>
    <w:p>
      <w:pPr>
        <w:numPr>
          <w:ilvl w:val="0"/>
          <w:numId w:val="1005"/>
        </w:numPr>
        <w:pStyle w:val="Compact"/>
      </w:pPr>
      <w:r>
        <w:rPr>
          <w:bCs/>
          <w:b/>
        </w:rPr>
        <w:t xml:space="preserve">Accounting Standard:</w:t>
      </w:r>
      <w:r>
        <w:t xml:space="preserve"> </w:t>
      </w:r>
      <w:r>
        <w:t xml:space="preserve">GHG Protocol Product Standard. This ensures categorization of emissions into Scope 1 (direct emissions), Scope 2 (indirect emissions from purchased energy), and Scope 3 (all other indirect emissions in the value chain).</w:t>
      </w:r>
    </w:p>
    <w:p>
      <w:pPr>
        <w:numPr>
          <w:ilvl w:val="0"/>
          <w:numId w:val="1005"/>
        </w:numPr>
        <w:pStyle w:val="Compact"/>
      </w:pPr>
      <w:r>
        <w:rPr>
          <w:bCs/>
          <w:b/>
        </w:rPr>
        <w:t xml:space="preserve">2026 LSR Update:</w:t>
      </w:r>
      <w:r>
        <w:t xml:space="preserve"> </w:t>
      </w:r>
      <w:r>
        <w:t xml:space="preserve">The Land Sector and Removals (LSR) Standard, effective January 1, 2027, has been considered. For dwnqkzrnhk, assumed to be a manufactured product, direct land-use change emissions from company operations are likely negligible. However, the standard\'s implications for bio-based raw materials, if any (e.g., packaging), and potential carbon removals through circular economy initiatives or sustainable sourcing, are accounted for within the relevant Scope 3 categories or highlighted separately. The LSR Standard provides methods for agricultural emissions and CO2 removal technologies.</w:t>
      </w:r>
    </w:p>
    <w:bookmarkEnd w:id="24"/>
    <w:bookmarkStart w:id="25" w:name="allocation"/>
    <w:p>
      <w:pPr>
        <w:pStyle w:val="Heading3"/>
      </w:pPr>
      <w:r>
        <w:t xml:space="preserve">2.5. Allocation</w:t>
      </w:r>
    </w:p>
    <w:p>
      <w:pPr>
        <w:pStyle w:val="FirstParagraph"/>
      </w:pPr>
      <w:r>
        <w:t xml:space="preserve">Allocation procedures distribute environmental burdens among co-products or different functions of a system. For this product-level PCF, emissions are directly allocated to the functional unit (1.0 unit of dwnqkzrnhk) based on direct material inputs, energy consumption, and transport associated with its production and lifecycle. Where shared processes exist (e.g., manufacturing facility), direct attribution is prioritized where possible.</w:t>
      </w:r>
    </w:p>
    <w:p>
      <w:r>
        <w:pict>
          <v:rect style="width:0;height:1.5pt" o:hralign="center" o:hrstd="t" o:hr="t"/>
        </w:pict>
      </w:r>
    </w:p>
    <w:bookmarkEnd w:id="25"/>
    <w:bookmarkEnd w:id="26"/>
    <w:bookmarkStart w:id="34" w:name="X35745a8e252718d5a0d40cb3fbfce10aee0336d"/>
    <w:p>
      <w:pPr>
        <w:pStyle w:val="Heading2"/>
      </w:pPr>
      <w:r>
        <w:t xml:space="preserve">3. Lifecycle Mapping (LCI Inventory Stages) &amp; Data Collection</w:t>
      </w:r>
    </w:p>
    <w:p>
      <w:pPr>
        <w:pStyle w:val="FirstParagraph"/>
      </w:pPr>
      <w:r>
        <w:t xml:space="preserve">This section details the product\'s lifecycle stages and the data collected for each, following the methodology\'s Step 2 and 3. Illustrative data has been generated for parameters not explicitly provided by the user (e.g., specific BOM details, transport distances, energy values), and are clearly marked as such.</w:t>
      </w:r>
    </w:p>
    <w:bookmarkStart w:id="28" w:name="X6772526b667a8516fbc4556d3b1feecca2682fb"/>
    <w:p>
      <w:pPr>
        <w:pStyle w:val="Heading3"/>
      </w:pPr>
      <w:r>
        <w:t xml:space="preserve">3.1. Raw Material Acquisition and Production (Scope 3 - Upstream)</w:t>
      </w:r>
    </w:p>
    <w:p>
      <w:pPr>
        <w:pStyle w:val="FirstParagraph"/>
      </w:pPr>
      <w:r>
        <w:t xml:space="preserve">The Bill of Materials (BOM) for dwnqkzrnhk (referenced as hfnqeigz) is critical for assessing the upstream impact of material extraction, processing, and manufacturing. The following table presents an illustrative BOM, with emission factors (EFs) representative of industry-standard databases like Ecoinvent or DEFRA for typical material processes.</w:t>
      </w:r>
    </w:p>
    <w:bookmarkStart w:id="27" w:name="Xf5796b1b27cd92ecc23de39e7d443bc53a9223f"/>
    <w:p>
      <w:pPr>
        <w:pStyle w:val="Heading4"/>
      </w:pPr>
      <w:r>
        <w:t xml:space="preserve">Illustrative Detailed Bill of Materials (BOM) - hfnqeigz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Granule Production,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w:t>
            </w:r>
          </w:p>
        </w:tc>
        <w:tc>
          <w:tcPr/>
          <w:p>
            <w:pPr>
              <w:pStyle w:val="Compact"/>
              <w:jc w:val="left"/>
            </w:pPr>
            <w:r>
              <w:t xml:space="preserve">0.21</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0.9</w:t>
            </w:r>
          </w:p>
        </w:tc>
        <w:tc>
          <w:tcPr/>
          <w:p>
            <w:pPr>
              <w:pStyle w:val="Compact"/>
              <w:jc w:val="left"/>
            </w:pPr>
            <w:r>
              <w:t xml:space="preserve">0.18</w:t>
            </w:r>
          </w:p>
        </w:tc>
      </w:tr>
    </w:tbl>
    <w:p>
      <w:pPr>
        <w:pStyle w:val="BodyText"/>
      </w:pPr>
      <w:r>
        <w:rPr>
          <w:iCs/>
          <w:i/>
        </w:rPr>
        <w:t xml:space="preserve">Note: Emission Factors are illustrative and based on generic industry averages. Actual factors would require specific supplier data.</w:t>
      </w:r>
    </w:p>
    <w:p>
      <w:pPr>
        <w:pStyle w:val="BodyText"/>
      </w:pPr>
      <w:r>
        <w:rPr>
          <w:bCs/>
          <w:b/>
        </w:rPr>
        <w:t xml:space="preserve">Total Emissions from Raw Materials (Illustrative):</w:t>
      </w:r>
      <w:r>
        <w:t xml:space="preserve"> </w:t>
      </w:r>
      <w:r>
        <w:t xml:space="preserve">15.59 kgCO2e</w:t>
      </w:r>
    </w:p>
    <w:bookmarkEnd w:id="27"/>
    <w:bookmarkEnd w:id="28"/>
    <w:bookmarkStart w:id="29" w:name="manufacturing-scope-1-scope-2"/>
    <w:p>
      <w:pPr>
        <w:pStyle w:val="Heading3"/>
      </w:pPr>
      <w:r>
        <w:t xml:space="preserve">3.2. Manufacturing (Scope 1 &amp; Scope 2)</w:t>
      </w:r>
    </w:p>
    <w:p>
      <w:pPr>
        <w:pStyle w:val="FirstParagraph"/>
      </w:pPr>
      <w:r>
        <w:t xml:space="preserve">This stage covers the energy consumed and direct emissions generated during the assembly and processing of dwnqkzrnhk in the final production country, China.</w:t>
      </w:r>
    </w:p>
    <w:p>
      <w:pPr>
        <w:numPr>
          <w:ilvl w:val="0"/>
          <w:numId w:val="1006"/>
        </w:numPr>
        <w:pStyle w:val="Compact"/>
      </w:pPr>
      <w:r>
        <w:rPr>
          <w:bCs/>
          <w:b/>
        </w:rPr>
        <w:t xml:space="preserve">Energy Intensity (kWh/unit):</w:t>
      </w:r>
      <w:r>
        <w:t xml:space="preserve"> </w:t>
      </w:r>
      <w:r>
        <w:t xml:space="preserve">vzdoknfsdm (Assumed: 25 kWh/unit)</w:t>
      </w:r>
    </w:p>
    <w:p>
      <w:pPr>
        <w:numPr>
          <w:ilvl w:val="0"/>
          <w:numId w:val="1006"/>
        </w:numPr>
        <w:pStyle w:val="Compact"/>
      </w:pPr>
      <w:r>
        <w:rPr>
          <w:bCs/>
          <w:b/>
        </w:rPr>
        <w:t xml:space="preserve">Renewable Energy Usage:</w:t>
      </w:r>
      <w:r>
        <w:t xml:space="preserve"> </w:t>
      </w:r>
      <w:r>
        <w:t xml:space="preserve">qsvqhgxofo (Assumed: 70%)</w:t>
      </w:r>
    </w:p>
    <w:p>
      <w:pPr>
        <w:numPr>
          <w:ilvl w:val="0"/>
          <w:numId w:val="1006"/>
        </w:numPr>
        <w:pStyle w:val="Compact"/>
      </w:pPr>
      <w:r>
        <w:rPr>
          <w:bCs/>
          <w:b/>
        </w:rPr>
        <w:t xml:space="preserve">Grid Emission Factor (China):</w:t>
      </w:r>
      <w:r>
        <w:t xml:space="preserve"> </w:t>
      </w:r>
      <w:r>
        <w:t xml:space="preserve">Assumed 0.6205 kgCO2e/kWh (2023 National Average, illustrative for this calculation)</w:t>
      </w:r>
    </w:p>
    <w:p>
      <w:pPr>
        <w:numPr>
          <w:ilvl w:val="0"/>
          <w:numId w:val="1006"/>
        </w:numPr>
        <w:pStyle w:val="Compact"/>
      </w:pPr>
      <w:r>
        <w:rPr>
          <w:bCs/>
          <w:b/>
        </w:rPr>
        <w:t xml:space="preserve">On-site Fuel Consumption (Scope 1):</w:t>
      </w:r>
      <w:r>
        <w:t xml:space="preserve"> </w:t>
      </w:r>
      <w:r>
        <w:t xml:space="preserve">Assumed negligible for product manufacturing without specific data, typically accounted for within grid EF if facility relies on purchased electricity.</w:t>
      </w:r>
    </w:p>
    <w:bookmarkEnd w:id="29"/>
    <w:bookmarkStart w:id="31" w:name="transport-scope-3---upstream-downstream"/>
    <w:p>
      <w:pPr>
        <w:pStyle w:val="Heading3"/>
      </w:pPr>
      <w:r>
        <w:t xml:space="preserve">3.3. Transport (Scope 3 - Upstream &amp; Downstream)</w:t>
      </w:r>
    </w:p>
    <w:p>
      <w:pPr>
        <w:pStyle w:val="FirstParagraph"/>
      </w:pPr>
      <w:r>
        <w:t xml:space="preserve">Logistics play a significant role in the overall footprint. This includes transport of raw materials to the factory (upstream), and transport of the finished product to the consumer (downstream). Emission factors for freight transport are typically expressed in kg CO2e per tonne-kilometer (tkm).</w:t>
      </w:r>
    </w:p>
    <w:bookmarkStart w:id="30" w:name="illustrative-transport-data"/>
    <w:p>
      <w:pPr>
        <w:pStyle w:val="Heading4"/>
      </w:pPr>
      <w:r>
        <w:t xml:space="preserve">Illustrative Transport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Segment</w:t>
            </w:r>
          </w:p>
        </w:tc>
        <w:tc>
          <w:tcPr/>
          <w:p>
            <w:pPr>
              <w:pStyle w:val="Compact"/>
              <w:jc w:val="left"/>
            </w:pPr>
            <w:r>
              <w:t xml:space="preserve">Mode</w:t>
            </w:r>
          </w:p>
        </w:tc>
        <w:tc>
          <w:tcPr/>
          <w:p>
            <w:pPr>
              <w:pStyle w:val="Compact"/>
              <w:jc w:val="left"/>
            </w:pPr>
            <w:r>
              <w:t xml:space="preserve">Distance (lukuenuxnp)</w:t>
            </w:r>
          </w:p>
        </w:tc>
        <w:tc>
          <w:tcPr/>
          <w:p>
            <w:pPr>
              <w:pStyle w:val="Compact"/>
              <w:jc w:val="left"/>
            </w:pPr>
            <w:r>
              <w:t xml:space="preserve">Unit</w:t>
            </w:r>
          </w:p>
        </w:tc>
        <w:tc>
          <w:tcPr/>
          <w:p>
            <w:pPr>
              <w:pStyle w:val="Compact"/>
              <w:jc w:val="left"/>
            </w:pPr>
            <w:r>
              <w:t xml:space="preserve">Qty (Product Unit)</w:t>
            </w:r>
          </w:p>
        </w:tc>
        <w:tc>
          <w:tcPr/>
          <w:p>
            <w:pPr>
              <w:pStyle w:val="Compact"/>
              <w:jc w:val="left"/>
            </w:pPr>
            <w:r>
              <w:t xml:space="preserve">Mass of Product (kg)</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Upstream (Materials from Europe to China)</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0.01</w:t>
            </w:r>
          </w:p>
        </w:tc>
        <w:tc>
          <w:tcPr/>
          <w:p>
            <w:pPr>
              <w:pStyle w:val="Compact"/>
              <w:jc w:val="left"/>
            </w:pPr>
            <w:r>
              <w:t xml:space="preserve">0.225</w:t>
            </w:r>
          </w:p>
        </w:tc>
      </w:tr>
      <w:tr>
        <w:tc>
          <w:tcPr/>
          <w:p>
            <w:pPr>
              <w:pStyle w:val="Compact"/>
              <w:jc w:val="left"/>
            </w:pPr>
            <w:r>
              <w:t xml:space="preserve">Distribution (China to Europe Hub)</w:t>
            </w:r>
          </w:p>
        </w:tc>
        <w:tc>
          <w:tcPr/>
          <w:p>
            <w:pPr>
              <w:pStyle w:val="Compact"/>
              <w:jc w:val="left"/>
            </w:pPr>
            <w:r>
              <w:t xml:space="preserve">Sea Freight (Container Ship)</w:t>
            </w:r>
          </w:p>
        </w:tc>
        <w:tc>
          <w:tcPr/>
          <w:p>
            <w:pPr>
              <w:pStyle w:val="Compact"/>
              <w:jc w:val="left"/>
            </w:pPr>
            <w:r>
              <w:t xml:space="preserve">12,000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0.01</w:t>
            </w:r>
          </w:p>
        </w:tc>
        <w:tc>
          <w:tcPr/>
          <w:p>
            <w:pPr>
              <w:pStyle w:val="Compact"/>
              <w:jc w:val="left"/>
            </w:pPr>
            <w:r>
              <w:t xml:space="preserve">0.180</w:t>
            </w:r>
          </w:p>
        </w:tc>
      </w:tr>
      <w:tr>
        <w:tc>
          <w:tcPr/>
          <w:p>
            <w:pPr>
              <w:pStyle w:val="Compact"/>
              <w:jc w:val="left"/>
            </w:pPr>
            <w:r>
              <w:t xml:space="preserve">Regional Distribution (Europe Hub to Country)</w:t>
            </w:r>
          </w:p>
        </w:tc>
        <w:tc>
          <w:tcPr/>
          <w:p>
            <w:pPr>
              <w:pStyle w:val="Compact"/>
              <w:jc w:val="left"/>
            </w:pPr>
            <w:r>
              <w:t xml:space="preserve">Road Freight (Heavy Truck)</w:t>
            </w:r>
          </w:p>
        </w:tc>
        <w:tc>
          <w:tcPr/>
          <w:p>
            <w:pPr>
              <w:pStyle w:val="Compact"/>
              <w:jc w:val="left"/>
            </w:pPr>
            <w:r>
              <w:t xml:space="preserve">800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0.09</w:t>
            </w:r>
          </w:p>
        </w:tc>
        <w:tc>
          <w:tcPr/>
          <w:p>
            <w:pPr>
              <w:pStyle w:val="Compact"/>
              <w:jc w:val="left"/>
            </w:pPr>
            <w:r>
              <w:t xml:space="preserve">0.108</w:t>
            </w:r>
          </w:p>
        </w:tc>
      </w:tr>
      <w:tr>
        <w:tc>
          <w:tcPr/>
          <w:p>
            <w:pPr>
              <w:pStyle w:val="Compact"/>
              <w:jc w:val="left"/>
            </w:pPr>
            <w:r>
              <w:t xml:space="preserve">Last-Mile Delivery Channel (Delivery Type)</w:t>
            </w:r>
          </w:p>
        </w:tc>
        <w:tc>
          <w:tcPr/>
          <w:p>
            <w:pPr>
              <w:pStyle w:val="Compact"/>
              <w:jc w:val="left"/>
            </w:pPr>
            <w:r>
              <w:t xml:space="preserve">Road Freight (Light Commercial Van)</w:t>
            </w:r>
          </w:p>
        </w:tc>
        <w:tc>
          <w:tcPr/>
          <w:p>
            <w:pPr>
              <w:pStyle w:val="Compact"/>
              <w:jc w:val="left"/>
            </w:pPr>
            <w:r>
              <w:t xml:space="preserve">50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0.20</w:t>
            </w:r>
          </w:p>
        </w:tc>
        <w:tc>
          <w:tcPr/>
          <w:p>
            <w:pPr>
              <w:pStyle w:val="Compact"/>
              <w:jc w:val="left"/>
            </w:pPr>
            <w:r>
              <w:t xml:space="preserve">0.015</w:t>
            </w:r>
          </w:p>
        </w:tc>
      </w:tr>
    </w:tbl>
    <w:p>
      <w:pPr>
        <w:pStyle w:val="BodyText"/>
      </w:pPr>
      <w:r>
        <w:rPr>
          <w:iCs/>
          <w:i/>
        </w:rPr>
        <w:t xml:space="preserve">Note: Product mass assumed at 1.5 kg for calculation. Emission Factors are illustrative; sea freight typically ranges 0.01-0.04 kgCO2e/tkm, road freight (heavy truck) 0.05-0.15 kgCO2e/tkm, and light commercial vans can be higher.</w:t>
      </w:r>
    </w:p>
    <w:p>
      <w:pPr>
        <w:pStyle w:val="BodyText"/>
      </w:pPr>
      <w:r>
        <w:rPr>
          <w:bCs/>
          <w:b/>
        </w:rPr>
        <w:t xml:space="preserve">Total Emissions from Transport (Illustrative):</w:t>
      </w:r>
      <w:r>
        <w:t xml:space="preserve"> </w:t>
      </w:r>
      <w:r>
        <w:t xml:space="preserve">0.225 + 0.180 + 0.108 + 0.015 = 0.528 kgCO2e</w:t>
      </w:r>
    </w:p>
    <w:bookmarkEnd w:id="30"/>
    <w:bookmarkEnd w:id="31"/>
    <w:bookmarkStart w:id="32" w:name="use-phase-scope-3---downstream"/>
    <w:p>
      <w:pPr>
        <w:pStyle w:val="Heading3"/>
      </w:pPr>
      <w:r>
        <w:t xml:space="preserve">3.4. Use Phase (Scope 3 - Downstream)</w:t>
      </w:r>
    </w:p>
    <w:p>
      <w:pPr>
        <w:pStyle w:val="FirstParagraph"/>
      </w:pPr>
      <w:r>
        <w:t xml:space="preserve">The energy consumption during the product\'s lifespan is a critical component of its footprint, especially for electronic devices or appliances.</w:t>
      </w:r>
    </w:p>
    <w:p>
      <w:pPr>
        <w:numPr>
          <w:ilvl w:val="0"/>
          <w:numId w:val="1007"/>
        </w:numPr>
        <w:pStyle w:val="Compact"/>
      </w:pPr>
      <w:r>
        <w:rPr>
          <w:bCs/>
          <w:b/>
        </w:rPr>
        <w:t xml:space="preserve">Product Lifespan:</w:t>
      </w:r>
      <w:r>
        <w:t xml:space="preserve"> </w:t>
      </w:r>
      <w:r>
        <w:t xml:space="preserve">kdjxvrmotj (Assumed: 5 years)</w:t>
      </w:r>
    </w:p>
    <w:p>
      <w:pPr>
        <w:numPr>
          <w:ilvl w:val="0"/>
          <w:numId w:val="1007"/>
        </w:numPr>
        <w:pStyle w:val="Compact"/>
      </w:pPr>
      <w:r>
        <w:rPr>
          <w:bCs/>
          <w:b/>
        </w:rPr>
        <w:t xml:space="preserve">Energy Consumption in Use:</w:t>
      </w:r>
      <w:r>
        <w:t xml:space="preserve"> </w:t>
      </w:r>
      <w:r>
        <w:t xml:space="preserve">utoqpxtefw (Assumed: 50 kWh/year)</w:t>
      </w:r>
    </w:p>
    <w:p>
      <w:pPr>
        <w:numPr>
          <w:ilvl w:val="0"/>
          <w:numId w:val="1007"/>
        </w:numPr>
        <w:pStyle w:val="Compact"/>
      </w:pPr>
      <w:r>
        <w:rPr>
          <w:bCs/>
          <w:b/>
        </w:rPr>
        <w:t xml:space="preserve">Grid Emission Factor (User Country, e.g., Europe average):</w:t>
      </w:r>
      <w:r>
        <w:t xml:space="preserve"> </w:t>
      </w:r>
      <w:r>
        <w:t xml:space="preserve">Assumed 0.3 kgCO2e/kWh (Illustrative; EU-27 average was 0.2883 kgCO2-eq/kWhel in 2021)</w:t>
      </w:r>
    </w:p>
    <w:p>
      <w:pPr>
        <w:pStyle w:val="FirstParagraph"/>
      </w:pPr>
      <w:r>
        <w:rPr>
          <w:bCs/>
          <w:b/>
        </w:rPr>
        <w:t xml:space="preserve">Total Energy Consumption over Lifespan:</w:t>
      </w:r>
      <w:r>
        <w:t xml:space="preserve"> </w:t>
      </w:r>
      <w:r>
        <w:t xml:space="preserve">5 years * 50 kWh/year = 250 kWh</w:t>
      </w:r>
    </w:p>
    <w:bookmarkEnd w:id="32"/>
    <w:bookmarkStart w:id="33" w:name="end-of-life-eol-scope-3---downstream"/>
    <w:p>
      <w:pPr>
        <w:pStyle w:val="Heading3"/>
      </w:pPr>
      <w:r>
        <w:t xml:space="preserve">3.5. End-of-Life (EoL) (Scope 3 - Downstream)</w:t>
      </w:r>
    </w:p>
    <w:p>
      <w:pPr>
        <w:pStyle w:val="FirstParagraph"/>
      </w:pPr>
      <w:r>
        <w:t xml:space="preserve">This stage accounts for the emissions or avoided emissions associated with the disposal, recycling, or recovery of the product at the end of its functional life.</w:t>
      </w:r>
    </w:p>
    <w:p>
      <w:pPr>
        <w:numPr>
          <w:ilvl w:val="0"/>
          <w:numId w:val="1008"/>
        </w:numPr>
        <w:pStyle w:val="Compact"/>
      </w:pPr>
      <w:r>
        <w:rPr>
          <w:bCs/>
          <w:b/>
        </w:rPr>
        <w:t xml:space="preserve">Recyclability Percentage:</w:t>
      </w:r>
      <w:r>
        <w:t xml:space="preserve"> </w:t>
      </w:r>
      <w:r>
        <w:t xml:space="preserve">fxzfnzpzno (Assumed: 80%)</w:t>
      </w:r>
    </w:p>
    <w:p>
      <w:pPr>
        <w:numPr>
          <w:ilvl w:val="0"/>
          <w:numId w:val="1008"/>
        </w:numPr>
        <w:pStyle w:val="Compact"/>
      </w:pPr>
      <w:r>
        <w:rPr>
          <w:bCs/>
          <w:b/>
        </w:rPr>
        <w:t xml:space="preserve">Circular/Take-back Programs:</w:t>
      </w:r>
      <w:r>
        <w:t xml:space="preserve"> </w:t>
      </w:r>
      <w:r>
        <w:t xml:space="preserve">krnwxyoroh (Assumed: Active)</w:t>
      </w:r>
    </w:p>
    <w:p>
      <w:pPr>
        <w:pStyle w:val="FirstParagraph"/>
      </w:pPr>
      <w:r>
        <w:t xml:space="preserve">For EoL calculations, it\'s assumed that the recyclable portion avoids primary material production, leading to avoided emissions. The remaining portion goes to landfill/incineration, incurring disposal emissions.</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p>
      <w:pPr>
        <w:pStyle w:val="FirstParagraph"/>
      </w:pPr>
      <w:r>
        <w:t xml:space="preserve">Based on the collected data and illustrative emission factors (from Ecoinvent/DEFRA equivalents), the emissions are calculated for each lifecycle stage and categorized according to the GHG Protocol.</w:t>
      </w:r>
    </w:p>
    <w:bookmarkStart w:id="35" w:name="scope-1-emissions-direct-emissions"/>
    <w:p>
      <w:pPr>
        <w:pStyle w:val="Heading3"/>
      </w:pPr>
      <w:r>
        <w:t xml:space="preserve">4.1. Scope 1 Emissions (Direct Emissions)</w:t>
      </w:r>
    </w:p>
    <w:p>
      <w:pPr>
        <w:pStyle w:val="FirstParagraph"/>
      </w:pPr>
      <w:r>
        <w:t xml:space="preserve">As per the provided parameters and assumptions, direct combustion emissions from sources owned or controlled by nmnznoxdhs at the \'factory_gate\' are considered negligible for the production of 1.0 unit of dwnqkzrnhk, assuming primary reliance on purchased electricity for processes. No significant on-site fuel consumption was specified.</w:t>
      </w:r>
    </w:p>
    <w:p>
      <w:pPr>
        <w:numPr>
          <w:ilvl w:val="0"/>
          <w:numId w:val="1009"/>
        </w:numPr>
        <w:pStyle w:val="Compact"/>
      </w:pPr>
      <w:r>
        <w:rPr>
          <w:bCs/>
          <w:b/>
        </w:rPr>
        <w:t xml:space="preserve">Total Scope 1 Emissions:</w:t>
      </w:r>
      <w:r>
        <w:t xml:space="preserve"> </w:t>
      </w:r>
      <w:r>
        <w:t xml:space="preserve">0.00 kgCO2e (Illustrative assumption)</w:t>
      </w:r>
    </w:p>
    <w:bookmarkEnd w:id="35"/>
    <w:bookmarkStart w:id="36"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of dwnqkzrnhk.</w:t>
      </w:r>
    </w:p>
    <w:p>
      <w:pPr>
        <w:numPr>
          <w:ilvl w:val="0"/>
          <w:numId w:val="1010"/>
        </w:numPr>
        <w:pStyle w:val="Compact"/>
      </w:pPr>
      <w:r>
        <w:rPr>
          <w:bCs/>
          <w:b/>
        </w:rPr>
        <w:t xml:space="preserve">Energy Intensity:</w:t>
      </w:r>
      <w:r>
        <w:t xml:space="preserve"> </w:t>
      </w:r>
      <w:r>
        <w:t xml:space="preserve">25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Electricity:</w:t>
      </w:r>
      <w:r>
        <w:t xml:space="preserve"> </w:t>
      </w:r>
      <w:r>
        <w:t xml:space="preserve">25 kWh/unit * (1 - 0.70) = 7.5 kWh/unit</w:t>
      </w:r>
    </w:p>
    <w:p>
      <w:pPr>
        <w:numPr>
          <w:ilvl w:val="0"/>
          <w:numId w:val="1010"/>
        </w:numPr>
        <w:pStyle w:val="Compact"/>
      </w:pPr>
      <w:r>
        <w:rPr>
          <w:bCs/>
          <w:b/>
        </w:rPr>
        <w:t xml:space="preserve">Grid Emission Factor (China):</w:t>
      </w:r>
      <w:r>
        <w:t xml:space="preserve"> </w:t>
      </w:r>
      <w:r>
        <w:t xml:space="preserve">0.6205 kgCO2e/kWh</w:t>
      </w:r>
    </w:p>
    <w:p>
      <w:pPr>
        <w:numPr>
          <w:ilvl w:val="0"/>
          <w:numId w:val="1010"/>
        </w:numPr>
        <w:pStyle w:val="Compact"/>
      </w:pPr>
      <w:r>
        <w:rPr>
          <w:bCs/>
          <w:b/>
        </w:rPr>
        <w:t xml:space="preserve">Total Scope 2 Emissions:</w:t>
      </w:r>
      <w:r>
        <w:t xml:space="preserve"> </w:t>
      </w:r>
      <w:r>
        <w:t xml:space="preserve">7.5 kWh/unit * 0.6205 kgCO2e/kWh = 4.65 kgCO2e</w:t>
      </w:r>
    </w:p>
    <w:bookmarkEnd w:id="36"/>
    <w:bookmarkStart w:id="40" w:name="scope-3-emissions-value-chain"/>
    <w:p>
      <w:pPr>
        <w:pStyle w:val="Heading3"/>
      </w:pPr>
      <w:r>
        <w:t xml:space="preserve">4.3. Scope 3 Emissions (Value Chain)</w:t>
      </w:r>
    </w:p>
    <w:p>
      <w:pPr>
        <w:pStyle w:val="FirstParagraph"/>
      </w:pPr>
      <w:r>
        <w:t xml:space="preserve">Scope 3 emissions encompass all indirect emissions in the value chain, both upstream and downstream. This analysis aims for at least 95% coverage as per proposed 2026 GHG Protocol requirements.</w:t>
      </w:r>
    </w:p>
    <w:bookmarkStart w:id="37" w:name="upstream-emissions"/>
    <w:p>
      <w:pPr>
        <w:pStyle w:val="Heading4"/>
      </w:pPr>
      <w:r>
        <w:t xml:space="preserve">4.3.1. Upstream Emissions</w:t>
      </w:r>
    </w:p>
    <w:p>
      <w:pPr>
        <w:numPr>
          <w:ilvl w:val="0"/>
          <w:numId w:val="1011"/>
        </w:numPr>
        <w:pStyle w:val="Compact"/>
      </w:pPr>
      <w:r>
        <w:rPr>
          <w:bCs/>
          <w:b/>
        </w:rPr>
        <w:t xml:space="preserve">Raw Material Acquisition &amp; Production:</w:t>
      </w:r>
    </w:p>
    <w:p>
      <w:pPr>
        <w:numPr>
          <w:ilvl w:val="1"/>
          <w:numId w:val="1012"/>
        </w:numPr>
        <w:pStyle w:val="Compact"/>
      </w:pPr>
      <w:r>
        <w:t xml:space="preserve">Calculated from Illustrative BOM: 15.59 kgCO2e</w:t>
      </w:r>
    </w:p>
    <w:p>
      <w:pPr>
        <w:numPr>
          <w:ilvl w:val="0"/>
          <w:numId w:val="1011"/>
        </w:numPr>
        <w:pStyle w:val="Compact"/>
      </w:pPr>
      <w:r>
        <w:rPr>
          <w:bCs/>
          <w:b/>
        </w:rPr>
        <w:t xml:space="preserve">Upstream Transport:</w:t>
      </w:r>
    </w:p>
    <w:p>
      <w:pPr>
        <w:numPr>
          <w:ilvl w:val="1"/>
          <w:numId w:val="1013"/>
        </w:numPr>
        <w:pStyle w:val="Compact"/>
      </w:pPr>
      <w:r>
        <w:t xml:space="preserve">Calculated from Illustrative Transport Data (Upstream Materials): 0.225 kgCO2e</w:t>
      </w:r>
    </w:p>
    <w:p>
      <w:pPr>
        <w:numPr>
          <w:ilvl w:val="0"/>
          <w:numId w:val="1011"/>
        </w:numPr>
        <w:pStyle w:val="Compact"/>
      </w:pPr>
      <w:r>
        <w:rPr>
          <w:bCs/>
          <w:b/>
        </w:rPr>
        <w:t xml:space="preserve">Total Upstream Scope 3 Emissions:</w:t>
      </w:r>
      <w:r>
        <w:t xml:space="preserve"> </w:t>
      </w:r>
      <w:r>
        <w:t xml:space="preserve">15.59 + 0.225 = 15.815 kgCO2e</w:t>
      </w:r>
    </w:p>
    <w:bookmarkEnd w:id="37"/>
    <w:bookmarkStart w:id="38" w:name="downstream-emissions"/>
    <w:p>
      <w:pPr>
        <w:pStyle w:val="Heading4"/>
      </w:pPr>
      <w:r>
        <w:t xml:space="preserve">4.3.2. Downstream Emissions</w:t>
      </w:r>
    </w:p>
    <w:p>
      <w:pPr>
        <w:numPr>
          <w:ilvl w:val="0"/>
          <w:numId w:val="1014"/>
        </w:numPr>
        <w:pStyle w:val="Compact"/>
      </w:pPr>
      <w:r>
        <w:rPr>
          <w:bCs/>
          <w:b/>
        </w:rPr>
        <w:t xml:space="preserve">Product Distribution Transport:</w:t>
      </w:r>
    </w:p>
    <w:p>
      <w:pPr>
        <w:numPr>
          <w:ilvl w:val="1"/>
          <w:numId w:val="1015"/>
        </w:numPr>
        <w:pStyle w:val="Compact"/>
      </w:pPr>
      <w:r>
        <w:t xml:space="preserve">Calculated from Illustrative Transport Data (Distribution &amp; Last-Mile): 0.180 + 0.108 + 0.015 = 0.303 kgCO2e</w:t>
      </w:r>
    </w:p>
    <w:p>
      <w:pPr>
        <w:numPr>
          <w:ilvl w:val="0"/>
          <w:numId w:val="1014"/>
        </w:numPr>
        <w:pStyle w:val="Compact"/>
      </w:pPr>
      <w:r>
        <w:rPr>
          <w:bCs/>
          <w:b/>
        </w:rPr>
        <w:t xml:space="preserve">Use Phase Emissions:</w:t>
      </w:r>
    </w:p>
    <w:p>
      <w:pPr>
        <w:numPr>
          <w:ilvl w:val="1"/>
          <w:numId w:val="1016"/>
        </w:numPr>
        <w:pStyle w:val="Compact"/>
      </w:pPr>
      <w:r>
        <w:t xml:space="preserve">Total Energy Consumption: 250 kWh</w:t>
      </w:r>
    </w:p>
    <w:p>
      <w:pPr>
        <w:numPr>
          <w:ilvl w:val="1"/>
          <w:numId w:val="1016"/>
        </w:numPr>
        <w:pStyle w:val="Compact"/>
      </w:pPr>
      <w:r>
        <w:t xml:space="preserve">Grid Emission Factor (User Country): 0.3 kgCO2e/kWh</w:t>
      </w:r>
    </w:p>
    <w:p>
      <w:pPr>
        <w:numPr>
          <w:ilvl w:val="1"/>
          <w:numId w:val="1016"/>
        </w:numPr>
        <w:pStyle w:val="Compact"/>
      </w:pPr>
      <w:r>
        <w:t xml:space="preserve">Total Use Phase Emissions: 250 kWh * 0.3 kgCO2e/kWh = 75.00 kgCO2e</w:t>
      </w:r>
    </w:p>
    <w:p>
      <w:pPr>
        <w:numPr>
          <w:ilvl w:val="0"/>
          <w:numId w:val="1014"/>
        </w:numPr>
        <w:pStyle w:val="Compact"/>
      </w:pPr>
      <w:r>
        <w:rPr>
          <w:bCs/>
          <w:b/>
        </w:rPr>
        <w:t xml:space="preserve">End-of-Life (EoL) Emissions / Avoided Emissions:</w:t>
      </w:r>
    </w:p>
    <w:p>
      <w:pPr>
        <w:numPr>
          <w:ilvl w:val="1"/>
          <w:numId w:val="1017"/>
        </w:numPr>
        <w:pStyle w:val="Compact"/>
      </w:pPr>
      <w:r>
        <w:t xml:space="preserve">Assume total product mass (including packaging) = 1.5 kg (product) + 0.2 kg (packaging) = 1.7 kg.</w:t>
      </w:r>
    </w:p>
    <w:p>
      <w:pPr>
        <w:numPr>
          <w:ilvl w:val="1"/>
          <w:numId w:val="1017"/>
        </w:numPr>
        <w:pStyle w:val="Compact"/>
      </w:pPr>
      <w:r>
        <w:t xml:space="preserve">Recycled portion: 80% of 1.7 kg = 1.36 kg.</w:t>
      </w:r>
    </w:p>
    <w:p>
      <w:pPr>
        <w:numPr>
          <w:ilvl w:val="1"/>
          <w:numId w:val="1017"/>
        </w:numPr>
        <w:pStyle w:val="Compact"/>
      </w:pPr>
      <w:r>
        <w:t xml:space="preserve">Disposed portion: 20% of 1.7 kg = 0.34 kg.</w:t>
      </w:r>
    </w:p>
    <w:p>
      <w:pPr>
        <w:numPr>
          <w:ilvl w:val="1"/>
          <w:numId w:val="1017"/>
        </w:numPr>
        <w:pStyle w:val="Compact"/>
      </w:pPr>
      <w:r>
        <w:t xml:space="preserve">Illustrative avoided emissions from recycling (e.g., 50% reduction vs. virgin material for 1.36kg of mixed materials, assume average EF of 3.0 kgCO2e/kg for virgin material equivalent): 1.36 kg * 3.0 kgCO2e/kg * 0.50 = -2.04 kgCO2e (avoided).</w:t>
      </w:r>
    </w:p>
    <w:p>
      <w:pPr>
        <w:numPr>
          <w:ilvl w:val="1"/>
          <w:numId w:val="1017"/>
        </w:numPr>
        <w:pStyle w:val="Compact"/>
      </w:pPr>
      <w:r>
        <w:t xml:space="preserve">Illustrative disposal emissions (e.g., landfill EF of 0.5 kgCO2e/kg for 0.34kg): 0.34 kg * 0.5 kgCO2e/kg = 0.17 kgCO2e.</w:t>
      </w:r>
    </w:p>
    <w:p>
      <w:pPr>
        <w:numPr>
          <w:ilvl w:val="1"/>
          <w:numId w:val="1017"/>
        </w:numPr>
        <w:pStyle w:val="Compact"/>
      </w:pPr>
      <w:r>
        <w:rPr>
          <w:bCs/>
          <w:b/>
        </w:rPr>
        <w:t xml:space="preserve">Net EoL Impact:</w:t>
      </w:r>
      <w:r>
        <w:t xml:space="preserve"> </w:t>
      </w:r>
      <w:r>
        <w:t xml:space="preserve">-2.04 + 0.17 = -1.87 kgCO2e (Net removal/avoidance)</w:t>
      </w:r>
    </w:p>
    <w:p>
      <w:pPr>
        <w:numPr>
          <w:ilvl w:val="1"/>
          <w:numId w:val="1017"/>
        </w:numPr>
        <w:pStyle w:val="Compact"/>
      </w:pPr>
      <w:r>
        <w:rPr>
          <w:bCs/>
          <w:b/>
        </w:rPr>
        <w:t xml:space="preserve">Circular/Take-back Programs (krnwxyoroh):</w:t>
      </w:r>
      <w:r>
        <w:t xml:space="preserve"> </w:t>
      </w:r>
      <w:r>
        <w:t xml:space="preserve">Active programs enhance the recyclability rate and ensure material recovery, contributing to further avoided emissions and supporting a circular economy. The assumed 80% recyclability rate is partly a reflection of effective programs.</w:t>
      </w:r>
    </w:p>
    <w:p>
      <w:pPr>
        <w:numPr>
          <w:ilvl w:val="0"/>
          <w:numId w:val="1014"/>
        </w:numPr>
        <w:pStyle w:val="Compact"/>
      </w:pPr>
      <w:r>
        <w:rPr>
          <w:bCs/>
          <w:b/>
        </w:rPr>
        <w:t xml:space="preserve">Total Downstream Scope 3 Emissions:</w:t>
      </w:r>
      <w:r>
        <w:t xml:space="preserve"> </w:t>
      </w:r>
      <w:r>
        <w:t xml:space="preserve">0.303 + 75.00 + (-1.87) = 73.433 kgCO2e</w:t>
      </w:r>
    </w:p>
    <w:bookmarkEnd w:id="38"/>
    <w:bookmarkStart w:id="39" w:name="scope-3-coverage"/>
    <w:p>
      <w:pPr>
        <w:pStyle w:val="Heading4"/>
      </w:pPr>
      <w:r>
        <w:t xml:space="preserve">4.3.3. Scope 3 Coverage</w:t>
      </w:r>
    </w:p>
    <w:p>
      <w:pPr>
        <w:pStyle w:val="FirstParagraph"/>
      </w:pPr>
      <w:r>
        <w:t xml:space="preserve">Given the detailed analysis of raw materials (Category 1), manufacturing (via Scope 2), transport (Category 4 &amp; 9), use phase (Category 11), and end-of-life (Category 12), the Scope 3 emissions calculated here are estimated to cover well over 95% of the total value chain emissions, aligning with the proposed 2026 GHG Protocol requirements for completeness and transparency.</w:t>
      </w:r>
    </w:p>
    <w:bookmarkEnd w:id="39"/>
    <w:bookmarkEnd w:id="40"/>
    <w:bookmarkStart w:id="41" w:name="application-of-2026-lsr-standard"/>
    <w:p>
      <w:pPr>
        <w:pStyle w:val="Heading3"/>
      </w:pPr>
      <w:r>
        <w:t xml:space="preserve">4.4. Application of 2026 LSR Standard</w:t>
      </w:r>
    </w:p>
    <w:p>
      <w:pPr>
        <w:pStyle w:val="FirstParagraph"/>
      </w:pPr>
      <w:r>
        <w:t xml:space="preserve">The Land Sector and Removals (LSR) Standard, effective January 1, 2027, provides a framework for accounting land-based GHG emissions and removals. For dwnqkzrnhk, its direct relevance is primarily through:</w:t>
      </w:r>
    </w:p>
    <w:p>
      <w:pPr>
        <w:numPr>
          <w:ilvl w:val="0"/>
          <w:numId w:val="1018"/>
        </w:numPr>
        <w:pStyle w:val="Compact"/>
      </w:pPr>
      <w:r>
        <w:rPr>
          <w:bCs/>
          <w:b/>
        </w:rPr>
        <w:t xml:space="preserve">Bio-based Materials:</w:t>
      </w:r>
      <w:r>
        <w:t xml:space="preserve"> </w:t>
      </w:r>
      <w:r>
        <w:t xml:space="preserve">If any raw materials are bio-based, their biogenic carbon uptake and emissions are accounted for. In this report\'s illustrative BOM, cardboard is bio-based, and its emissions are included in the raw materials, considering its lifecycle.</w:t>
      </w:r>
    </w:p>
    <w:p>
      <w:pPr>
        <w:numPr>
          <w:ilvl w:val="0"/>
          <w:numId w:val="1018"/>
        </w:numPr>
        <w:pStyle w:val="Compact"/>
      </w:pPr>
      <w:r>
        <w:rPr>
          <w:bCs/>
          <w:b/>
        </w:rPr>
        <w:t xml:space="preserve">Carbon Removals:</w:t>
      </w:r>
      <w:r>
        <w:t xml:space="preserve"> </w:t>
      </w:r>
      <w:r>
        <w:t xml:space="preserve">The negative (avoided) emissions calculated in the End-of-Life phase from recycling contribute to the concept of removals by preventing the need for virgin material extraction and processing. Active circular programs (krnwxyoroh) further enhance these removals by increasing the efficiency and scale of recycling. The LSR Standard also covers technological CO2 removals.</w:t>
      </w:r>
    </w:p>
    <w:p>
      <w:pPr>
        <w:numPr>
          <w:ilvl w:val="0"/>
          <w:numId w:val="1018"/>
        </w:numPr>
        <w:pStyle w:val="Compact"/>
      </w:pPr>
      <w:r>
        <w:rPr>
          <w:bCs/>
          <w:b/>
        </w:rPr>
        <w:t xml:space="preserve">Land Use Change:</w:t>
      </w:r>
      <w:r>
        <w:t xml:space="preserve"> </w:t>
      </w:r>
      <w:r>
        <w:t xml:space="preserve">Assuming dwnqkzrnhk is a manufactured product, direct land-use change from its own operations or specific supply chain for primary materials (e.g., forestry for timber beyond generic pulp) is not directly quantified here without specific data. However, the upstream emission factors for materials implicitly account for land use impacts related to resource extraction. The LSR Standard requires reporting of land occupation and quantification of land carbon leakage for high-risk activities.</w:t>
      </w:r>
    </w:p>
    <w:p>
      <w:r>
        <w:pict>
          <v:rect style="width:0;height:1.5pt" o:hralign="center" o:hrstd="t" o:hr="t"/>
        </w:pict>
      </w:r>
    </w:p>
    <w:bookmarkEnd w:id="41"/>
    <w:bookmarkEnd w:id="42"/>
    <w:bookmarkStart w:id="47" w:name="Xa493959a7e625ad8257a8301ddd92d230fc8732"/>
    <w:p>
      <w:pPr>
        <w:pStyle w:val="Heading2"/>
      </w:pPr>
      <w:r>
        <w:t xml:space="preserve">5. Product Carbon Footprint Summary &amp; Hotspots</w:t>
      </w:r>
    </w:p>
    <w:bookmarkStart w:id="43" w:name="total-product-carbon-footprint-pcf"/>
    <w:p>
      <w:pPr>
        <w:pStyle w:val="Heading3"/>
      </w:pPr>
      <w:r>
        <w:t xml:space="preserve">5.1.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 (Direct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 for Manufacturing)</w:t>
            </w:r>
          </w:p>
        </w:tc>
        <w:tc>
          <w:tcPr/>
          <w:p>
            <w:pPr>
              <w:pStyle w:val="Compact"/>
              <w:jc w:val="left"/>
            </w:pPr>
            <w:r>
              <w:t xml:space="preserve">4.65</w:t>
            </w:r>
          </w:p>
        </w:tc>
        <w:tc>
          <w:tcPr/>
          <w:p>
            <w:pPr>
              <w:pStyle w:val="Compact"/>
              <w:jc w:val="left"/>
            </w:pPr>
            <w:r>
              <w:t xml:space="preserve">5.0%</w:t>
            </w:r>
          </w:p>
        </w:tc>
      </w:tr>
      <w:tr>
        <w:tc>
          <w:tcPr>
            <w:gridSpan w:val="3"/>
          </w:tcPr>
          <w:p>
            <w:pPr>
              <w:pStyle w:val="Compact"/>
              <w:jc w:val="left"/>
            </w:pPr>
            <w:r>
              <w:rPr>
                <w:bCs/>
                <w:b/>
              </w:rPr>
              <w:t xml:space="preserve">Scope 3 (Value Chain Emissions)</w:t>
            </w:r>
          </w:p>
        </w:tc>
      </w:tr>
      <w:tr>
        <w:tc>
          <w:tcPr/>
          <w:p>
            <w:pPr>
              <w:pStyle w:val="Compact"/>
              <w:jc w:val="left"/>
            </w:pPr>
            <w:r>
              <w:t xml:space="preserve">    Upstream (Raw Materials)</w:t>
            </w:r>
          </w:p>
        </w:tc>
        <w:tc>
          <w:tcPr/>
          <w:p>
            <w:pPr>
              <w:pStyle w:val="Compact"/>
              <w:jc w:val="left"/>
            </w:pPr>
            <w:r>
              <w:t xml:space="preserve">15.59</w:t>
            </w:r>
          </w:p>
        </w:tc>
        <w:tc>
          <w:tcPr/>
          <w:p>
            <w:pPr>
              <w:pStyle w:val="Compact"/>
              <w:jc w:val="left"/>
            </w:pPr>
            <w:r>
              <w:t xml:space="preserve">16.6%</w:t>
            </w:r>
          </w:p>
        </w:tc>
      </w:tr>
      <w:tr>
        <w:tc>
          <w:tcPr/>
          <w:p>
            <w:pPr>
              <w:pStyle w:val="Compact"/>
              <w:jc w:val="left"/>
            </w:pPr>
            <w:r>
              <w:t xml:space="preserve">    Upstream (Transport of Materials)</w:t>
            </w:r>
          </w:p>
        </w:tc>
        <w:tc>
          <w:tcPr/>
          <w:p>
            <w:pPr>
              <w:pStyle w:val="Compact"/>
              <w:jc w:val="left"/>
            </w:pPr>
            <w:r>
              <w:t xml:space="preserve">0.23</w:t>
            </w:r>
          </w:p>
        </w:tc>
        <w:tc>
          <w:tcPr/>
          <w:p>
            <w:pPr>
              <w:pStyle w:val="Compact"/>
              <w:jc w:val="left"/>
            </w:pPr>
            <w:r>
              <w:t xml:space="preserve">0.2%</w:t>
            </w:r>
          </w:p>
        </w:tc>
      </w:tr>
      <w:tr>
        <w:tc>
          <w:tcPr/>
          <w:p>
            <w:pPr>
              <w:pStyle w:val="Compact"/>
              <w:jc w:val="left"/>
            </w:pPr>
            <w:r>
              <w:t xml:space="preserve">    Downstream (Product Transport)</w:t>
            </w:r>
          </w:p>
        </w:tc>
        <w:tc>
          <w:tcPr/>
          <w:p>
            <w:pPr>
              <w:pStyle w:val="Compact"/>
              <w:jc w:val="left"/>
            </w:pPr>
            <w:r>
              <w:t xml:space="preserve">0.30</w:t>
            </w:r>
          </w:p>
        </w:tc>
        <w:tc>
          <w:tcPr/>
          <w:p>
            <w:pPr>
              <w:pStyle w:val="Compact"/>
              <w:jc w:val="left"/>
            </w:pPr>
            <w:r>
              <w:t xml:space="preserve">0.3%</w:t>
            </w:r>
          </w:p>
        </w:tc>
      </w:tr>
      <w:tr>
        <w:tc>
          <w:tcPr/>
          <w:p>
            <w:pPr>
              <w:pStyle w:val="Compact"/>
              <w:jc w:val="left"/>
            </w:pPr>
            <w:r>
              <w:t xml:space="preserve">    Use Phase</w:t>
            </w:r>
          </w:p>
        </w:tc>
        <w:tc>
          <w:tcPr/>
          <w:p>
            <w:pPr>
              <w:pStyle w:val="Compact"/>
              <w:jc w:val="left"/>
            </w:pPr>
            <w:r>
              <w:t xml:space="preserve">75.00</w:t>
            </w:r>
          </w:p>
        </w:tc>
        <w:tc>
          <w:tcPr/>
          <w:p>
            <w:pPr>
              <w:pStyle w:val="Compact"/>
              <w:jc w:val="left"/>
            </w:pPr>
            <w:r>
              <w:t xml:space="preserve">79.9%</w:t>
            </w:r>
          </w:p>
        </w:tc>
      </w:tr>
      <w:tr>
        <w:tc>
          <w:tcPr/>
          <w:p>
            <w:pPr>
              <w:pStyle w:val="Compact"/>
              <w:jc w:val="left"/>
            </w:pPr>
            <w:r>
              <w:t xml:space="preserve">    End-of-Life (Net Impact)</w:t>
            </w:r>
          </w:p>
        </w:tc>
        <w:tc>
          <w:tcPr/>
          <w:p>
            <w:pPr>
              <w:pStyle w:val="Compact"/>
              <w:jc w:val="left"/>
            </w:pPr>
            <w:r>
              <w:t xml:space="preserve">-1.87</w:t>
            </w:r>
          </w:p>
        </w:tc>
        <w:tc>
          <w:tcPr/>
          <w:p>
            <w:pPr>
              <w:pStyle w:val="Compact"/>
              <w:jc w:val="left"/>
            </w:pPr>
            <w:r>
              <w:t xml:space="preserve">-2.0%</w:t>
            </w:r>
          </w:p>
        </w:tc>
      </w:tr>
      <w:tr>
        <w:tc>
          <w:tcPr/>
          <w:p>
            <w:pPr>
              <w:pStyle w:val="Compact"/>
              <w:jc w:val="left"/>
            </w:pPr>
            <w:r>
              <w:rPr>
                <w:bCs/>
                <w:b/>
              </w:rPr>
              <w:t xml:space="preserve">TOTAL PRODUCT CARBON FOOTPRINT (1.0 unit dwnqkzrnhk)</w:t>
            </w:r>
          </w:p>
        </w:tc>
        <w:tc>
          <w:tcPr/>
          <w:p>
            <w:pPr>
              <w:pStyle w:val="Compact"/>
              <w:jc w:val="left"/>
            </w:pPr>
            <w:r>
              <w:rPr>
                <w:bCs/>
                <w:b/>
              </w:rPr>
              <w:t xml:space="preserve">93.90</w:t>
            </w:r>
          </w:p>
        </w:tc>
        <w:tc>
          <w:tcPr/>
          <w:p>
            <w:pPr>
              <w:pStyle w:val="Compact"/>
              <w:jc w:val="left"/>
            </w:pPr>
            <w:r>
              <w:rPr>
                <w:bCs/>
                <w:b/>
              </w:rPr>
              <w:t xml:space="preserve">100.0%</w:t>
            </w:r>
          </w:p>
        </w:tc>
      </w:tr>
    </w:tbl>
    <w:bookmarkEnd w:id="43"/>
    <w:bookmarkStart w:id="44" w:name="emission-hotspots"/>
    <w:p>
      <w:pPr>
        <w:pStyle w:val="Heading3"/>
      </w:pPr>
      <w:r>
        <w:t xml:space="preserve">5.2. Emission Hotspots</w:t>
      </w:r>
    </w:p>
    <w:p>
      <w:pPr>
        <w:pStyle w:val="FirstParagraph"/>
      </w:pPr>
      <w:r>
        <w:t xml:space="preserve">The analysis clearly identifies the following key emission hotspots for dwnqkzrnhk:</w:t>
      </w:r>
    </w:p>
    <w:p>
      <w:pPr>
        <w:numPr>
          <w:ilvl w:val="0"/>
          <w:numId w:val="1019"/>
        </w:numPr>
        <w:pStyle w:val="Compact"/>
      </w:pPr>
      <w:r>
        <w:rPr>
          <w:bCs/>
          <w:b/>
        </w:rPr>
        <w:t xml:space="preserve">Use Phase (79.9%):</w:t>
      </w:r>
      <w:r>
        <w:t xml:space="preserve"> </w:t>
      </w:r>
      <w:r>
        <w:t xml:space="preserve">This is overwhelmingly the largest contributor to the product\'s PCF. The assumed 5-year lifespan and 50 kWh/year energy consumption, combined with the average grid mix of the user\'s country, result in substantial emissions. This highlights the critical importance of energy efficiency during product operation.</w:t>
      </w:r>
    </w:p>
    <w:p>
      <w:pPr>
        <w:numPr>
          <w:ilvl w:val="0"/>
          <w:numId w:val="1019"/>
        </w:numPr>
        <w:pStyle w:val="Compact"/>
      </w:pPr>
      <w:r>
        <w:rPr>
          <w:bCs/>
          <w:b/>
        </w:rPr>
        <w:t xml:space="preserve">Raw Material Acquisition &amp; Production (16.6%):</w:t>
      </w:r>
      <w:r>
        <w:t xml:space="preserve"> </w:t>
      </w:r>
      <w:r>
        <w:t xml:space="preserve">Upstream material impacts, particularly from high-impact materials like Aluminum and Lithium-Ion batteries, represent the second most significant hotspot. This emphasizes the need for sustainable material sourcing and design for longevity.</w:t>
      </w:r>
    </w:p>
    <w:p>
      <w:pPr>
        <w:numPr>
          <w:ilvl w:val="0"/>
          <w:numId w:val="1019"/>
        </w:numPr>
        <w:pStyle w:val="Compact"/>
      </w:pPr>
      <w:r>
        <w:rPr>
          <w:bCs/>
          <w:b/>
        </w:rPr>
        <w:t xml:space="preserve">Manufacturing (Scope 2, 5.0%):</w:t>
      </w:r>
      <w:r>
        <w:t xml:space="preserve"> </w:t>
      </w:r>
      <w:r>
        <w:t xml:space="preserve">While nmnznoxdhs utilizes 70% renewable energy, the remaining non-renewable electricity still contributes a notable portion, indicating further potential for decarbonization of manufacturing operations in China.</w:t>
      </w:r>
    </w:p>
    <w:p>
      <w:pPr>
        <w:numPr>
          <w:ilvl w:val="0"/>
          <w:numId w:val="1019"/>
        </w:numPr>
        <w:pStyle w:val="Compact"/>
      </w:pPr>
      <w:r>
        <w:rPr>
          <w:bCs/>
          <w:b/>
        </w:rPr>
        <w:t xml:space="preserve">Transport (Upstream &amp; Downstream, &lt;1%):</w:t>
      </w:r>
      <w:r>
        <w:t xml:space="preserve"> </w:t>
      </w:r>
      <w:r>
        <w:t xml:space="preserve">While important to optimize, transportation emissions are comparatively low in this assessment, largely due to the higher impact of the use phase.</w:t>
      </w:r>
    </w:p>
    <w:bookmarkEnd w:id="44"/>
    <w:bookmarkStart w:id="45" w:name="reliability-and-limitations"/>
    <w:p>
      <w:pPr>
        <w:pStyle w:val="Heading3"/>
      </w:pPr>
      <w:r>
        <w:t xml:space="preserve">5.3. Reliability and Limitations</w:t>
      </w:r>
    </w:p>
    <w:p>
      <w:pPr>
        <w:pStyle w:val="FirstParagraph"/>
      </w:pPr>
      <w:r>
        <w:t xml:space="preserve">The reliability of this PCF analysis is influenced by the quality and specificity of the input data:</w:t>
      </w:r>
    </w:p>
    <w:p>
      <w:pPr>
        <w:numPr>
          <w:ilvl w:val="0"/>
          <w:numId w:val="1020"/>
        </w:numPr>
        <w:pStyle w:val="Compact"/>
      </w:pPr>
      <w:r>
        <w:rPr>
          <w:bCs/>
          <w:b/>
        </w:rPr>
        <w:t xml:space="preserve">Data Specificity:</w:t>
      </w:r>
      <w:r>
        <w:t xml:space="preserve"> </w:t>
      </w:r>
      <w:r>
        <w:t xml:space="preserve">Where primary data was unavailable (e.g., exact BOM emission factors, specific transport distances, exact energy grid mixes for all regions), illustrative data and industry averages have been used. This introduces uncertainty, and higher accuracy would require more granular, supplier-specific data.</w:t>
      </w:r>
    </w:p>
    <w:p>
      <w:pPr>
        <w:numPr>
          <w:ilvl w:val="0"/>
          <w:numId w:val="1020"/>
        </w:numPr>
        <w:pStyle w:val="Compact"/>
      </w:pPr>
      <w:r>
        <w:rPr>
          <w:bCs/>
          <w:b/>
        </w:rPr>
        <w:t xml:space="preserve">System Boundary Assumptions:</w:t>
      </w:r>
      <w:r>
        <w:t xml:space="preserve"> </w:t>
      </w:r>
      <w:r>
        <w:t xml:space="preserve">While comprehensive, certain indirect impacts (e.g., capital goods, business travel) are typically excluded from product-level PCFs as per GHG Protocol and were not quantified here.</w:t>
      </w:r>
    </w:p>
    <w:p>
      <w:pPr>
        <w:numPr>
          <w:ilvl w:val="0"/>
          <w:numId w:val="1020"/>
        </w:numPr>
        <w:pStyle w:val="Compact"/>
      </w:pPr>
      <w:r>
        <w:rPr>
          <w:bCs/>
          <w:b/>
        </w:rPr>
        <w:t xml:space="preserve">Emission Factors:</w:t>
      </w:r>
      <w:r>
        <w:t xml:space="preserve"> </w:t>
      </w:r>
      <w:r>
        <w:t xml:space="preserve">Generic Ecoinvent/DEFRA-equivalent emission factors were applied. Sourcing country-specific and process-specific factors would enhance accuracy.</w:t>
      </w:r>
    </w:p>
    <w:p>
      <w:pPr>
        <w:numPr>
          <w:ilvl w:val="0"/>
          <w:numId w:val="1020"/>
        </w:numPr>
        <w:pStyle w:val="Compact"/>
      </w:pPr>
      <w:r>
        <w:rPr>
          <w:bCs/>
          <w:b/>
        </w:rPr>
        <w:t xml:space="preserve">LSR Standard:</w:t>
      </w:r>
      <w:r>
        <w:t xml:space="preserve"> </w:t>
      </w:r>
      <w:r>
        <w:t xml:space="preserve">The application of the LSR Standard is contextual; direct land-use change impacts were assumed minimal for this product. More detailed analysis would be required for products with significant direct bio-based material components from specific land areas. The accompanying guidance, expected in Q2 2026, will provide more practical direction.</w:t>
      </w:r>
    </w:p>
    <w:bookmarkEnd w:id="45"/>
    <w:bookmarkStart w:id="46" w:name="recommendations-for-impact-reduction"/>
    <w:p>
      <w:pPr>
        <w:pStyle w:val="Heading3"/>
      </w:pPr>
      <w:r>
        <w:t xml:space="preserve">5.4. Recommendations for Impact Reduction</w:t>
      </w:r>
    </w:p>
    <w:p>
      <w:pPr>
        <w:pStyle w:val="FirstParagraph"/>
      </w:pPr>
      <w:r>
        <w:t xml:space="preserve">Based on the hotspot analysis, nmnznoxdhs should focus on the following to reduce the PCF of dwnqkzrnhk:</w:t>
      </w:r>
    </w:p>
    <w:p>
      <w:pPr>
        <w:numPr>
          <w:ilvl w:val="0"/>
          <w:numId w:val="1021"/>
        </w:numPr>
        <w:pStyle w:val="Compact"/>
      </w:pPr>
      <w:r>
        <w:rPr>
          <w:bCs/>
          <w:b/>
        </w:rPr>
        <w:t xml:space="preserve">Enhance Use Phase Efficiency:</w:t>
      </w:r>
    </w:p>
    <w:p>
      <w:pPr>
        <w:numPr>
          <w:ilvl w:val="1"/>
          <w:numId w:val="1022"/>
        </w:numPr>
        <w:pStyle w:val="Compact"/>
      </w:pPr>
      <w:r>
        <w:t xml:space="preserve">Invest in research and development to significantly reduce the product\'s energy consumption during operation.</w:t>
      </w:r>
    </w:p>
    <w:p>
      <w:pPr>
        <w:numPr>
          <w:ilvl w:val="1"/>
          <w:numId w:val="1022"/>
        </w:numPr>
        <w:pStyle w:val="Compact"/>
      </w:pPr>
      <w:r>
        <w:t xml:space="preserve">Explore software updates or smart features that optimize energy usage.</w:t>
      </w:r>
    </w:p>
    <w:p>
      <w:pPr>
        <w:numPr>
          <w:ilvl w:val="1"/>
          <w:numId w:val="1022"/>
        </w:numPr>
        <w:pStyle w:val="Compact"/>
      </w:pPr>
      <w:r>
        <w:t xml:space="preserve">Communicate energy efficiency clearly to consumers.</w:t>
      </w:r>
    </w:p>
    <w:p>
      <w:pPr>
        <w:numPr>
          <w:ilvl w:val="0"/>
          <w:numId w:val="1021"/>
        </w:numPr>
        <w:pStyle w:val="Compact"/>
      </w:pPr>
      <w:r>
        <w:rPr>
          <w:bCs/>
          <w:b/>
        </w:rPr>
        <w:t xml:space="preserve">Sustainable Material Sourcing &amp; Design:</w:t>
      </w:r>
    </w:p>
    <w:p>
      <w:pPr>
        <w:numPr>
          <w:ilvl w:val="1"/>
          <w:numId w:val="1023"/>
        </w:numPr>
        <w:pStyle w:val="Compact"/>
      </w:pPr>
      <w:r>
        <w:t xml:space="preserve">Investigate lower-carbon alternatives for high-impact materials (e.g., recycled aluminum, bio-plastics with verified lower footprints).</w:t>
      </w:r>
    </w:p>
    <w:p>
      <w:pPr>
        <w:numPr>
          <w:ilvl w:val="1"/>
          <w:numId w:val="1023"/>
        </w:numPr>
        <w:pStyle w:val="Compact"/>
      </w:pPr>
      <w:r>
        <w:t xml:space="preserve">Engage with suppliers to obtain primary emission data and encourage their decarbonization efforts.</w:t>
      </w:r>
    </w:p>
    <w:p>
      <w:pPr>
        <w:numPr>
          <w:ilvl w:val="1"/>
          <w:numId w:val="1023"/>
        </w:numPr>
        <w:pStyle w:val="Compact"/>
      </w:pPr>
      <w:r>
        <w:t xml:space="preserve">Design for durability and modularity to extend product lifespan beyond the current kdjxvrmotj (5 years).</w:t>
      </w:r>
    </w:p>
    <w:p>
      <w:pPr>
        <w:numPr>
          <w:ilvl w:val="0"/>
          <w:numId w:val="1021"/>
        </w:numPr>
        <w:pStyle w:val="Compact"/>
      </w:pPr>
      <w:r>
        <w:rPr>
          <w:bCs/>
          <w:b/>
        </w:rPr>
        <w:t xml:space="preserve">Decarbonize Manufacturing Operations:</w:t>
      </w:r>
    </w:p>
    <w:p>
      <w:pPr>
        <w:numPr>
          <w:ilvl w:val="1"/>
          <w:numId w:val="1024"/>
        </w:numPr>
        <w:pStyle w:val="Compact"/>
      </w:pPr>
      <w:r>
        <w:t xml:space="preserve">Increase renewable energy procurement beyond qsvqhgxofo (70%) for the manufacturing facility in China, aiming for 100%.</w:t>
      </w:r>
    </w:p>
    <w:p>
      <w:pPr>
        <w:numPr>
          <w:ilvl w:val="1"/>
          <w:numId w:val="1024"/>
        </w:numPr>
        <w:pStyle w:val="Compact"/>
      </w:pPr>
      <w:r>
        <w:t xml:space="preserve">Implement energy efficiency measures within the factory to reduce overall electricity demand.</w:t>
      </w:r>
    </w:p>
    <w:p>
      <w:pPr>
        <w:numPr>
          <w:ilvl w:val="0"/>
          <w:numId w:val="1021"/>
        </w:numPr>
        <w:pStyle w:val="Compact"/>
      </w:pPr>
      <w:r>
        <w:rPr>
          <w:bCs/>
          <w:b/>
        </w:rPr>
        <w:t xml:space="preserve">Strengthen Circular Economy Initiatives:</w:t>
      </w:r>
    </w:p>
    <w:p>
      <w:pPr>
        <w:numPr>
          <w:ilvl w:val="1"/>
          <w:numId w:val="1025"/>
        </w:numPr>
        <w:pStyle w:val="Compact"/>
      </w:pPr>
      <w:r>
        <w:t xml:space="preserve">Leverage active circular/take-back programs (krnwxyoroh) to maximize material recovery and explore product-as-a-service models.</w:t>
      </w:r>
    </w:p>
    <w:p>
      <w:pPr>
        <w:numPr>
          <w:ilvl w:val="1"/>
          <w:numId w:val="1025"/>
        </w:numPr>
        <w:pStyle w:val="Compact"/>
      </w:pPr>
      <w:r>
        <w:t xml:space="preserve">Improve design for disassembly and material purity to enhance recyclability rates beyond fxzfnzpzno (80%).</w:t>
      </w:r>
    </w:p>
    <w:p>
      <w:r>
        <w:pict>
          <v:rect style="width:0;height:1.5pt" o:hralign="center" o:hrstd="t" o:hr="t"/>
        </w:pict>
      </w:r>
    </w:p>
    <w:bookmarkEnd w:id="46"/>
    <w:bookmarkEnd w:id="47"/>
    <w:bookmarkStart w:id="48" w:name="conclusion"/>
    <w:p>
      <w:pPr>
        <w:pStyle w:val="Heading2"/>
      </w:pPr>
      <w:r>
        <w:t xml:space="preserve">6. Conclusion</w:t>
      </w:r>
    </w:p>
    <w:p>
      <w:pPr>
        <w:pStyle w:val="FirstParagraph"/>
      </w:pPr>
      <w:r>
        <w:t xml:space="preserve">The Product Carbon Footprint of 1.0 unit of dwnqkzrnhk is approximately 93.90 kgCO2e, with the use phase being the dominant contributor. This report provides a robust baseline for nmnznoxdhs to understand its product\'s environmental impact in detail, guided by the GHG Protocol and incorporating 2026 LSR considerations for land-related impacts and carbon removals. By focusing on energy efficiency in the use phase and sustainable material choices, nmnznoxdhs can significantly reduce the environmental footprint of dwnqkzrnhk and demonstrate strong leadership in product sustainability.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dwnqkzrnhk</dc:title>
  <dc:creator/>
  <dc:description>Detailed Product Carbon Footprint (PCF) analysis report for dwnqkzrnhk by nmnznoxdhs, adhering to GHG Protocol and 2026 LSR standards, conducted by Senior Sustainability Consultant kfykxkrvdg.</dc:description>
  <dc:language>en</dc:language>
  <cp:keywords/>
  <dcterms:created xsi:type="dcterms:W3CDTF">2026-07-15T18:38:23Z</dcterms:created>
  <dcterms:modified xsi:type="dcterms:W3CDTF">2026-07-15T18:38:23Z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