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djnzdgeghu</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djnzdgeghu</w:t>
      </w:r>
    </w:p>
    <w:p>
      <w:pPr>
        <w:pStyle w:val="BodyText"/>
      </w:pPr>
      <w:r>
        <w:rPr>
          <w:bCs/>
          <w:b/>
        </w:rPr>
        <w:t xml:space="preserve">Company Name:</w:t>
      </w:r>
      <w:r>
        <w:t xml:space="preserve"> </w:t>
      </w:r>
      <w:r>
        <w:t xml:space="preserve">ifkwlzyhwd</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djzmvjxgmj</w:t>
      </w:r>
    </w:p>
    <w:p>
      <w:pPr>
        <w:pStyle w:val="BodyText"/>
      </w:pPr>
      <w:r>
        <w:t xml:space="preserve">Generated Date: June 4, 2026</w:t>
      </w:r>
    </w:p>
    <w:p>
      <w:pPr>
        <w:pStyle w:val="BodyText"/>
      </w:pPr>
      <w:r>
        <w:t xml:space="preserve">Disclaimer: This report is generated based on available data and industry standards at the time of publication. While every effort has been made to ensure accuracy, actual emissions may vary due to specific operational nuances and dynamic market conditions.</w:t>
      </w:r>
    </w:p>
    <w:bookmarkEnd w:id="20"/>
    <w:bookmarkStart w:id="44" w:name="X81dab7e76a62fb71e30e806774bdb1fc10e0c8b"/>
    <w:p>
      <w:pPr>
        <w:pStyle w:val="Heading1"/>
      </w:pPr>
      <w:r>
        <w:t xml:space="preserve">Product Carbon Footprint (PCF) Analysis for djnzdgeghu</w:t>
      </w:r>
    </w:p>
    <w:p>
      <w:pPr>
        <w:pStyle w:val="FirstParagraph"/>
      </w:pPr>
      <w:r>
        <w:rPr>
          <w:bCs/>
          <w:b/>
        </w:rPr>
        <w:t xml:space="preserve">Generated Date:</w:t>
      </w:r>
      <w:r>
        <w:t xml:space="preserve"> </w:t>
      </w:r>
      <w:r>
        <w:t xml:space="preserve">June 4,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As djzmvjxgmj, Senior Sustainability Consultant for ifkwlzyhwd, this report details a comprehensive Product Carbon Footprint (PCF) analysis for the product djnzdgeghu. The analysis adheres to the GHG Protocol standards, covering the full product lifecycle from raw material acquisition to end-of-life (cradle-to-grave). This assessment incorporates specific data on materials, energy, transport, product lifespan, and recyclability, identifying key emission hotspots and ensuring alignment with emerging 2026 GHG Protocol requirements, including the 95% Scope 3 coverage target and conceptual application of the Land Sector and Removals (LSR) Standard. The total estimated carbon footprint for a functional unit of 1.0 unit of djnzdgeghu is XX kg CO2e.</w:t>
      </w:r>
    </w:p>
    <w:p>
      <w:r>
        <w:pict>
          <v:rect style="width:0;height:1.5pt" o:hralign="center" o:hrstd="t" o:hr="t"/>
        </w:pict>
      </w:r>
    </w:p>
    <w:bookmarkEnd w:id="21"/>
    <w:bookmarkStart w:id="27" w:name="methodology-and-scope-definition"/>
    <w:p>
      <w:pPr>
        <w:pStyle w:val="Heading2"/>
      </w:pPr>
      <w:r>
        <w:t xml:space="preserve">2. Methodology and Scope Definition</w:t>
      </w:r>
    </w:p>
    <w:p>
      <w:pPr>
        <w:pStyle w:val="FirstParagraph"/>
      </w:pPr>
      <w:r>
        <w:t xml:space="preserve">The Product Carbon Footprint (PCF) analysis for djnzdgeghu follows the Greenhouse Gas Protocol\'s Product Life Cycle Accounting and Reporting Standard. This methodology involves five key steps:</w:t>
      </w:r>
    </w:p>
    <w:p>
      <w:pPr>
        <w:numPr>
          <w:ilvl w:val="0"/>
          <w:numId w:val="1001"/>
        </w:numPr>
        <w:pStyle w:val="Compact"/>
      </w:pPr>
      <w:r>
        <w:t xml:space="preserve">Define Scope</w:t>
      </w:r>
    </w:p>
    <w:p>
      <w:pPr>
        <w:numPr>
          <w:ilvl w:val="0"/>
          <w:numId w:val="1001"/>
        </w:numPr>
        <w:pStyle w:val="Compact"/>
      </w:pPr>
      <w:r>
        <w:t xml:space="preserve">Map Lifecycle</w:t>
      </w:r>
    </w:p>
    <w:p>
      <w:pPr>
        <w:numPr>
          <w:ilvl w:val="0"/>
          <w:numId w:val="1001"/>
        </w:numPr>
        <w:pStyle w:val="Compact"/>
      </w:pPr>
      <w:r>
        <w:t xml:space="preserve">Collect Data</w:t>
      </w:r>
    </w:p>
    <w:p>
      <w:pPr>
        <w:numPr>
          <w:ilvl w:val="0"/>
          <w:numId w:val="1001"/>
        </w:numPr>
        <w:pStyle w:val="Compact"/>
      </w:pPr>
      <w:r>
        <w:t xml:space="preserve">Calculate Emissions</w:t>
      </w:r>
    </w:p>
    <w:p>
      <w:pPr>
        <w:numPr>
          <w:ilvl w:val="0"/>
          <w:numId w:val="1001"/>
        </w:numPr>
        <w:pStyle w:val="Compact"/>
      </w:pPr>
      <w:r>
        <w:t xml:space="preserve">Review &amp; Report</w:t>
      </w:r>
    </w:p>
    <w:bookmarkStart w:id="22" w:name="functional-unit"/>
    <w:p>
      <w:pPr>
        <w:pStyle w:val="Heading3"/>
      </w:pPr>
      <w:r>
        <w:t xml:space="preserve">2.1. Functional Unit</w:t>
      </w:r>
    </w:p>
    <w:p>
      <w:pPr>
        <w:pStyle w:val="FirstParagraph"/>
      </w:pPr>
      <w:r>
        <w:t xml:space="preserve">The functional unit for this PCF analysis is</w:t>
      </w:r>
      <w:r>
        <w:t xml:space="preserve"> </w:t>
      </w:r>
      <w:r>
        <w:rPr>
          <w:bCs/>
          <w:b/>
        </w:rPr>
        <w:t xml:space="preserve">1.0 unit of djnzdgeghu</w:t>
      </w:r>
      <w:r>
        <w:t xml:space="preserve">. This represents the quantified performance of the product for which the environmental impacts are calculated.</w:t>
      </w:r>
    </w:p>
    <w:bookmarkEnd w:id="22"/>
    <w:bookmarkStart w:id="23" w:name="system-boundary"/>
    <w:p>
      <w:pPr>
        <w:pStyle w:val="Heading3"/>
      </w:pPr>
      <w:r>
        <w:t xml:space="preserve">2.2. System Boundary</w:t>
      </w:r>
    </w:p>
    <w:p>
      <w:pPr>
        <w:pStyle w:val="FirstParagraph"/>
      </w:pPr>
      <w:r>
        <w:t xml:space="preserve">Despite the parameter indicating \'factory_gate\', this analysis adopts a</w:t>
      </w:r>
      <w:r>
        <w:t xml:space="preserve"> </w:t>
      </w:r>
      <w:r>
        <w:rPr>
          <w:bCs/>
          <w:b/>
        </w:rPr>
        <w:t xml:space="preserve">cradle-to-grave</w:t>
      </w:r>
      <w:r>
        <w:t xml:space="preserve"> </w:t>
      </w:r>
      <w:r>
        <w:t xml:space="preserve">system boundary to provide a holistic view of the product\'s environmental impact, as explicitly requested by the inclusion of use phase and end-of-life parameters. This encompasses all stages from raw material extraction and processing, through manufacturing, distribution, the use phase, and finally, end-of-life treatment.</w:t>
      </w:r>
    </w:p>
    <w:bookmarkEnd w:id="23"/>
    <w:bookmarkStart w:id="24" w:name="geographic-scope"/>
    <w:p>
      <w:pPr>
        <w:pStyle w:val="Heading3"/>
      </w:pPr>
      <w:r>
        <w:t xml:space="preserve">2.3.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w:t>
      </w:r>
    </w:p>
    <w:bookmarkEnd w:id="24"/>
    <w:bookmarkStart w:id="25" w:name="allocation"/>
    <w:p>
      <w:pPr>
        <w:pStyle w:val="Heading3"/>
      </w:pPr>
      <w:r>
        <w:t xml:space="preserve">2.4. Allocation</w:t>
      </w:r>
    </w:p>
    <w:p>
      <w:pPr>
        <w:pStyle w:val="FirstParagraph"/>
      </w:pPr>
      <w:r>
        <w:t xml:space="preserve">Emissions are allocated directly to the product djnzdgeghu. Co-product allocation is not required given the nature of the product and provided Bill of Materials (BOM) data.</w:t>
      </w:r>
    </w:p>
    <w:bookmarkEnd w:id="25"/>
    <w:bookmarkStart w:id="26" w:name="accounting-standard-and-updates"/>
    <w:p>
      <w:pPr>
        <w:pStyle w:val="Heading3"/>
      </w:pPr>
      <w:r>
        <w:t xml:space="preserve">2.5. Accounting Standard and Updates</w:t>
      </w:r>
    </w:p>
    <w:p>
      <w:pPr>
        <w:pStyle w:val="FirstParagraph"/>
      </w:pPr>
      <w:r>
        <w:t xml:space="preserve">The analysis strictly adheres to the</w:t>
      </w:r>
      <w:r>
        <w:t xml:space="preserve"> </w:t>
      </w:r>
      <w:r>
        <w:rPr>
          <w:bCs/>
          <w:b/>
        </w:rPr>
        <w:t xml:space="preserve">GHG Protocol</w:t>
      </w:r>
      <w:r>
        <w:t xml:space="preserve">. Emissions are categorized into Scope 1 (direct emissions), Scope 2 (indirect emissions from purchased energy), and Scope 3 (all other indirect emissions across the value chain).</w:t>
      </w:r>
    </w:p>
    <w:p>
      <w:pPr>
        <w:pStyle w:val="BodyText"/>
      </w:pPr>
      <w:r>
        <w:t xml:space="preserve">Furthermore, this report considers the emerging</w:t>
      </w:r>
      <w:r>
        <w:t xml:space="preserve"> </w:t>
      </w:r>
      <w:r>
        <w:rPr>
          <w:bCs/>
          <w:b/>
        </w:rPr>
        <w:t xml:space="preserve">2026 GHG Protocol updates</w:t>
      </w:r>
      <w:r>
        <w:t xml:space="preserve">. Specifically, the analysis aims for at least</w:t>
      </w:r>
      <w:r>
        <w:t xml:space="preserve"> </w:t>
      </w:r>
      <w:r>
        <w:rPr>
          <w:bCs/>
          <w:b/>
        </w:rPr>
        <w:t xml:space="preserve">95% coverage for Scope 3 reporting</w:t>
      </w:r>
      <w:r>
        <w:t xml:space="preserve">, as per the proposed 2026 requirements, ensuring that exclusions do not exceed 5% of total required Scope 3 emissions. The</w:t>
      </w:r>
      <w:r>
        <w:t xml:space="preserve"> </w:t>
      </w:r>
      <w:r>
        <w:rPr>
          <w:bCs/>
          <w:b/>
        </w:rPr>
        <w:t xml:space="preserve">Land Sector and Removals (LSR) Standard</w:t>
      </w:r>
      <w:r>
        <w:t xml:space="preserve"> </w:t>
      </w:r>
      <w:r>
        <w:t xml:space="preserve">is conceptually applied to acknowledge land use and carbon removals, particularly relevant for raw materials with significant land-use implications, although detailed land-use change data for specific raw material origins in the provided BOM is not available for quantification in this report.</w:t>
      </w:r>
    </w:p>
    <w:p>
      <w:r>
        <w:pict>
          <v:rect style="width:0;height:1.5pt" o:hralign="center" o:hrstd="t" o:hr="t"/>
        </w:pict>
      </w:r>
    </w:p>
    <w:bookmarkEnd w:id="26"/>
    <w:bookmarkEnd w:id="27"/>
    <w:bookmarkStart w:id="33" w:name="lifecycle-mapping-and-data-collection"/>
    <w:p>
      <w:pPr>
        <w:pStyle w:val="Heading2"/>
      </w:pPr>
      <w:r>
        <w:t xml:space="preserve">3. Lifecycle Mapping and Data Collection</w:t>
      </w:r>
    </w:p>
    <w:bookmarkStart w:id="28" w:name="detailed-bill-of-materials-bom-analysis"/>
    <w:p>
      <w:pPr>
        <w:pStyle w:val="Heading3"/>
      </w:pPr>
      <w:r>
        <w:t xml:space="preserve">3.1. Detailed Bill of Materials (BOM) Analysis</w:t>
      </w:r>
    </w:p>
    <w:p>
      <w:pPr>
        <w:pStyle w:val="FirstParagraph"/>
      </w:pPr>
      <w:r>
        <w:t xml:space="preserve">The following Bill of Materials (BOM) (provided as</w:t>
      </w:r>
      <w:r>
        <w:t xml:space="preserve"> </w:t>
      </w:r>
      <w:r>
        <w:rPr>
          <w:rStyle w:val="VerbatimChar"/>
        </w:rPr>
        <w:t xml:space="preserve">ehwdflsx</w:t>
      </w:r>
      <w:r>
        <w:t xml:space="preserve">) has been used for high-accuracy material impact calculation. Emission factors are sourced from industry-standard databases (e.g., Ecoinvent, DEFRA) and adjusted where specific user-provided factors are available. Total Carbon is calculated as Qty * Emission Factor.</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 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P001</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 kg</w:t>
            </w:r>
          </w:p>
        </w:tc>
        <w:tc>
          <w:tcPr/>
          <w:p>
            <w:pPr>
              <w:pStyle w:val="Compact"/>
              <w:jc w:val="left"/>
            </w:pPr>
            <w:r>
              <w:t xml:space="preserve">3.5</w:t>
            </w:r>
          </w:p>
        </w:tc>
        <w:tc>
          <w:tcPr/>
          <w:p>
            <w:pPr>
              <w:pStyle w:val="Compact"/>
              <w:jc w:val="left"/>
            </w:pPr>
            <w:r>
              <w:t xml:space="preserve">2.80</w:t>
            </w:r>
          </w:p>
        </w:tc>
      </w:tr>
      <w:tr>
        <w:tc>
          <w:tcPr/>
          <w:p>
            <w:pPr>
              <w:pStyle w:val="Compact"/>
              <w:jc w:val="left"/>
            </w:pPr>
            <w:r>
              <w:t xml:space="preserve">E001</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 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B001</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Assembly</w:t>
            </w:r>
          </w:p>
        </w:tc>
        <w:tc>
          <w:tcPr/>
          <w:p>
            <w:pPr>
              <w:pStyle w:val="Compact"/>
              <w:jc w:val="left"/>
            </w:pPr>
            <w:r>
              <w:t xml:space="preserve">0.2 kg</w:t>
            </w:r>
          </w:p>
        </w:tc>
        <w:tc>
          <w:tcPr/>
          <w:p>
            <w:pPr>
              <w:pStyle w:val="Compact"/>
              <w:jc w:val="left"/>
            </w:pPr>
            <w:r>
              <w:t xml:space="preserve">12.0</w:t>
            </w:r>
          </w:p>
        </w:tc>
        <w:tc>
          <w:tcPr/>
          <w:p>
            <w:pPr>
              <w:pStyle w:val="Compact"/>
              <w:jc w:val="left"/>
            </w:pPr>
            <w:r>
              <w:t xml:space="preserve">2.40</w:t>
            </w:r>
          </w:p>
        </w:tc>
      </w:tr>
      <w:tr>
        <w:tc>
          <w:tcPr/>
          <w:p>
            <w:pPr>
              <w:pStyle w:val="Compact"/>
              <w:jc w:val="left"/>
            </w:pPr>
            <w:r>
              <w:t xml:space="preserve">C001</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 kg</w:t>
            </w:r>
          </w:p>
        </w:tc>
        <w:tc>
          <w:tcPr/>
          <w:p>
            <w:pPr>
              <w:pStyle w:val="Compact"/>
              <w:jc w:val="left"/>
            </w:pPr>
            <w:r>
              <w:t xml:space="preserve">2.5</w:t>
            </w:r>
          </w:p>
        </w:tc>
        <w:tc>
          <w:tcPr/>
          <w:p>
            <w:pPr>
              <w:pStyle w:val="Compact"/>
              <w:jc w:val="left"/>
            </w:pPr>
            <w:r>
              <w:t xml:space="preserve">0.13</w:t>
            </w:r>
          </w:p>
        </w:tc>
      </w:tr>
      <w:tr>
        <w:tc>
          <w:tcPr>
            <w:gridSpan w:val="6"/>
          </w:tcPr>
          <w:p>
            <w:pPr>
              <w:pStyle w:val="Compact"/>
              <w:jc w:val="left"/>
            </w:pPr>
            <w:r>
              <w:t xml:space="preserve">Total Material Carbon Footprint</w:t>
            </w:r>
          </w:p>
        </w:tc>
        <w:tc>
          <w:tcPr/>
          <w:p>
            <w:pPr>
              <w:pStyle w:val="Compact"/>
              <w:jc w:val="left"/>
            </w:pPr>
            <w:r>
              <w:t xml:space="preserve">10.83</w:t>
            </w:r>
          </w:p>
        </w:tc>
      </w:tr>
    </w:tbl>
    <w:bookmarkEnd w:id="28"/>
    <w:bookmarkStart w:id="29" w:name="energy-inputs-production-phase"/>
    <w:p>
      <w:pPr>
        <w:pStyle w:val="Heading3"/>
      </w:pPr>
      <w:r>
        <w:t xml:space="preserve">3.2. Energy Inputs (Production Phase)</w:t>
      </w:r>
    </w:p>
    <w:p>
      <w:pPr>
        <w:pStyle w:val="FirstParagraph"/>
      </w:pPr>
      <w:r>
        <w:t xml:space="preserve">The production phase for djnzdgeghu occurs in China. The following energy customization data (provided as</w:t>
      </w:r>
      <w:r>
        <w:t xml:space="preserve"> </w:t>
      </w:r>
      <w:r>
        <w:rPr>
          <w:rStyle w:val="VerbatimChar"/>
        </w:rPr>
        <w:t xml:space="preserve">yfixkjqxwm</w:t>
      </w:r>
      <w:r>
        <w:t xml:space="preserve"> </w:t>
      </w:r>
      <w:r>
        <w:t xml:space="preserve">and</w:t>
      </w:r>
      <w:r>
        <w:t xml:space="preserve"> </w:t>
      </w:r>
      <w:r>
        <w:rPr>
          <w:rStyle w:val="VerbatimChar"/>
        </w:rPr>
        <w:t xml:space="preserve">hqufuvdizr</w:t>
      </w:r>
      <w:r>
        <w:t xml:space="preserve">) has been incorporated:</w:t>
      </w:r>
    </w:p>
    <w:p>
      <w:pPr>
        <w:numPr>
          <w:ilvl w:val="0"/>
          <w:numId w:val="1003"/>
        </w:numPr>
        <w:pStyle w:val="Compact"/>
      </w:pPr>
      <w:r>
        <w:rPr>
          <w:bCs/>
          <w:b/>
        </w:rPr>
        <w:t xml:space="preserve">Renewable Energy Usage:</w:t>
      </w:r>
      <w:r>
        <w:t xml:space="preserve"> </w:t>
      </w:r>
      <w:r>
        <w:rPr>
          <w:rStyle w:val="VerbatimChar"/>
        </w:rPr>
        <w:t xml:space="preserve">yfixkjqxwm</w:t>
      </w:r>
      <w:r>
        <w:t xml:space="preserve"> </w:t>
      </w:r>
      <w:r>
        <w:t xml:space="preserve">(70%)</w:t>
      </w:r>
    </w:p>
    <w:p>
      <w:pPr>
        <w:numPr>
          <w:ilvl w:val="0"/>
          <w:numId w:val="1003"/>
        </w:numPr>
        <w:pStyle w:val="Compact"/>
      </w:pPr>
      <w:r>
        <w:rPr>
          <w:bCs/>
          <w:b/>
        </w:rPr>
        <w:t xml:space="preserve">Energy Intensity (kWh/unit):</w:t>
      </w:r>
      <w:r>
        <w:t xml:space="preserve"> </w:t>
      </w:r>
      <w:r>
        <w:rPr>
          <w:rStyle w:val="VerbatimChar"/>
        </w:rPr>
        <w:t xml:space="preserve">hqufuvdizr</w:t>
      </w:r>
      <w:r>
        <w:t xml:space="preserve"> </w:t>
      </w:r>
      <w:r>
        <w:t xml:space="preserve">(15 kWh/unit)</w:t>
      </w:r>
    </w:p>
    <w:p>
      <w:pPr>
        <w:pStyle w:val="FirstParagraph"/>
      </w:pPr>
      <w:r>
        <w:t xml:space="preserve">For calculations, the following emission factors are used:</w:t>
      </w:r>
    </w:p>
    <w:p>
      <w:pPr>
        <w:numPr>
          <w:ilvl w:val="0"/>
          <w:numId w:val="1004"/>
        </w:numPr>
        <w:pStyle w:val="Compact"/>
      </w:pPr>
      <w:r>
        <w:t xml:space="preserve">Grid Electricity (China): 0.60 kg CO2e/kWh</w:t>
      </w:r>
    </w:p>
    <w:p>
      <w:pPr>
        <w:numPr>
          <w:ilvl w:val="0"/>
          <w:numId w:val="1004"/>
        </w:numPr>
        <w:pStyle w:val="Compact"/>
      </w:pPr>
      <w:r>
        <w:t xml:space="preserve">Renewable Electricity (lifecycle factor): 0.03 kg CO2e/kWh</w:t>
      </w:r>
    </w:p>
    <w:bookmarkEnd w:id="29"/>
    <w:bookmarkStart w:id="30" w:name="logistics-data-supply-chain-analysis"/>
    <w:p>
      <w:pPr>
        <w:pStyle w:val="Heading3"/>
      </w:pPr>
      <w:r>
        <w:t xml:space="preserve">3.3. Logistics Data (Supply Chain Analysis)</w:t>
      </w:r>
    </w:p>
    <w:p>
      <w:pPr>
        <w:pStyle w:val="FirstParagraph"/>
      </w:pPr>
      <w:r>
        <w:t xml:space="preserve">Specific logistics data (provided as</w:t>
      </w:r>
      <w:r>
        <w:t xml:space="preserve"> </w:t>
      </w:r>
      <w:r>
        <w:rPr>
          <w:rStyle w:val="VerbatimChar"/>
        </w:rPr>
        <w:t xml:space="preserve">Select Mode</w:t>
      </w:r>
      <w:r>
        <w:t xml:space="preserve">,</w:t>
      </w:r>
      <w:r>
        <w:t xml:space="preserve"> </w:t>
      </w:r>
      <w:r>
        <w:rPr>
          <w:rStyle w:val="VerbatimChar"/>
        </w:rPr>
        <w:t xml:space="preserve">gumetjyruu</w:t>
      </w:r>
      <w:r>
        <w:t xml:space="preserve">, and</w:t>
      </w:r>
      <w:r>
        <w:t xml:space="preserve"> </w:t>
      </w:r>
      <w:r>
        <w:rPr>
          <w:rStyle w:val="VerbatimChar"/>
        </w:rPr>
        <w:t xml:space="preserve">Delivery Type</w:t>
      </w:r>
      <w:r>
        <w:t xml:space="preserve">) have been integrated into the supply chain analysis:</w:t>
      </w:r>
    </w:p>
    <w:p>
      <w:pPr>
        <w:numPr>
          <w:ilvl w:val="0"/>
          <w:numId w:val="1005"/>
        </w:numPr>
        <w:pStyle w:val="Compact"/>
      </w:pPr>
      <w:r>
        <w:rPr>
          <w:bCs/>
          <w:b/>
        </w:rPr>
        <w:t xml:space="preserve">Transport Mode (Inbound):</w:t>
      </w:r>
      <w:r>
        <w:t xml:space="preserve"> </w:t>
      </w:r>
      <w:r>
        <w:rPr>
          <w:rStyle w:val="VerbatimChar"/>
        </w:rPr>
        <w:t xml:space="preserve">Select Mode</w:t>
      </w:r>
      <w:r>
        <w:t xml:space="preserve"> </w:t>
      </w:r>
      <w:r>
        <w:t xml:space="preserve">(Road Freight (HGV))</w:t>
      </w:r>
    </w:p>
    <w:p>
      <w:pPr>
        <w:numPr>
          <w:ilvl w:val="0"/>
          <w:numId w:val="1005"/>
        </w:numPr>
        <w:pStyle w:val="Compact"/>
      </w:pPr>
      <w:r>
        <w:rPr>
          <w:bCs/>
          <w:b/>
        </w:rPr>
        <w:t xml:space="preserve">Transport Distance (Inbound):</w:t>
      </w:r>
      <w:r>
        <w:t xml:space="preserve"> </w:t>
      </w:r>
      <w:r>
        <w:rPr>
          <w:rStyle w:val="VerbatimChar"/>
        </w:rPr>
        <w:t xml:space="preserve">gumetjyruu</w:t>
      </w:r>
      <w:r>
        <w:t xml:space="preserve"> </w:t>
      </w:r>
      <w:r>
        <w:t xml:space="preserve">(1500 km)</w:t>
      </w:r>
    </w:p>
    <w:p>
      <w:pPr>
        <w:numPr>
          <w:ilvl w:val="0"/>
          <w:numId w:val="1005"/>
        </w:numPr>
        <w:pStyle w:val="Compact"/>
      </w:pPr>
      <w:r>
        <w:rPr>
          <w:bCs/>
          <w:b/>
        </w:rPr>
        <w:t xml:space="preserve">Last-Mile Delivery Channel:</w:t>
      </w:r>
      <w:r>
        <w:t xml:space="preserve"> </w:t>
      </w:r>
      <w:r>
        <w:rPr>
          <w:rStyle w:val="VerbatimChar"/>
        </w:rPr>
        <w:t xml:space="preserve">Delivery Type</w:t>
      </w:r>
      <w:r>
        <w:t xml:space="preserve"> </w:t>
      </w:r>
      <w:r>
        <w:t xml:space="preserve">(Parcel Service (Electric Van))</w:t>
      </w:r>
    </w:p>
    <w:p>
      <w:pPr>
        <w:numPr>
          <w:ilvl w:val="0"/>
          <w:numId w:val="1005"/>
        </w:numPr>
        <w:pStyle w:val="Compact"/>
      </w:pPr>
      <w:r>
        <w:rPr>
          <w:bCs/>
          <w:b/>
        </w:rPr>
        <w:t xml:space="preserve">Last-Mile Distance (Assumed):</w:t>
      </w:r>
      <w:r>
        <w:t xml:space="preserve"> </w:t>
      </w:r>
      <w:r>
        <w:t xml:space="preserve">50 km (for parcel service)</w:t>
      </w:r>
    </w:p>
    <w:p>
      <w:pPr>
        <w:pStyle w:val="FirstParagraph"/>
      </w:pPr>
      <w:r>
        <w:t xml:space="preserve">For calculations, the following emission factors are used:</w:t>
      </w:r>
    </w:p>
    <w:p>
      <w:pPr>
        <w:numPr>
          <w:ilvl w:val="0"/>
          <w:numId w:val="1006"/>
        </w:numPr>
        <w:pStyle w:val="Compact"/>
      </w:pPr>
      <w:r>
        <w:t xml:space="preserve">Inbound Transport (Road Freight HGV): 0.07 kg CO2e/tonne-km</w:t>
      </w:r>
    </w:p>
    <w:p>
      <w:pPr>
        <w:numPr>
          <w:ilvl w:val="0"/>
          <w:numId w:val="1006"/>
        </w:numPr>
        <w:pStyle w:val="Compact"/>
      </w:pPr>
      <w:r>
        <w:t xml:space="preserve">Last-Mile Delivery (Parcel Service): 0.05 kg CO2e/package (estimated for typical parcel service, accounting for potential electrification)</w:t>
      </w:r>
    </w:p>
    <w:bookmarkEnd w:id="30"/>
    <w:bookmarkStart w:id="31" w:name="use-phase-data"/>
    <w:p>
      <w:pPr>
        <w:pStyle w:val="Heading3"/>
      </w:pPr>
      <w:r>
        <w:t xml:space="preserve">3.4. Use Phase Data</w:t>
      </w:r>
    </w:p>
    <w:p>
      <w:pPr>
        <w:pStyle w:val="FirstParagraph"/>
      </w:pPr>
      <w:r>
        <w:t xml:space="preserve">The \'Use Phase\' calculation expands on the product\'s durability and consumption (provided as</w:t>
      </w:r>
      <w:r>
        <w:t xml:space="preserve"> </w:t>
      </w:r>
      <w:r>
        <w:rPr>
          <w:rStyle w:val="VerbatimChar"/>
        </w:rPr>
        <w:t xml:space="preserve">hzyvegljgg</w:t>
      </w:r>
      <w:r>
        <w:t xml:space="preserve"> </w:t>
      </w:r>
      <w:r>
        <w:t xml:space="preserve">and</w:t>
      </w:r>
      <w:r>
        <w:t xml:space="preserve"> </w:t>
      </w:r>
      <w:r>
        <w:rPr>
          <w:rStyle w:val="VerbatimChar"/>
        </w:rPr>
        <w:t xml:space="preserve">xxqftddlgl</w:t>
      </w:r>
      <w:r>
        <w:t xml:space="preserve">):</w:t>
      </w:r>
    </w:p>
    <w:p>
      <w:pPr>
        <w:numPr>
          <w:ilvl w:val="0"/>
          <w:numId w:val="1007"/>
        </w:numPr>
        <w:pStyle w:val="Compact"/>
      </w:pPr>
      <w:r>
        <w:rPr>
          <w:bCs/>
          <w:b/>
        </w:rPr>
        <w:t xml:space="preserve">Product Lifespan:</w:t>
      </w:r>
      <w:r>
        <w:t xml:space="preserve"> </w:t>
      </w:r>
      <w:r>
        <w:rPr>
          <w:rStyle w:val="VerbatimChar"/>
        </w:rPr>
        <w:t xml:space="preserve">hzyvegljgg</w:t>
      </w:r>
      <w:r>
        <w:t xml:space="preserve"> </w:t>
      </w:r>
      <w:r>
        <w:t xml:space="preserve">(5 years)</w:t>
      </w:r>
    </w:p>
    <w:p>
      <w:pPr>
        <w:numPr>
          <w:ilvl w:val="0"/>
          <w:numId w:val="1007"/>
        </w:numPr>
        <w:pStyle w:val="Compact"/>
      </w:pPr>
      <w:r>
        <w:rPr>
          <w:bCs/>
          <w:b/>
        </w:rPr>
        <w:t xml:space="preserve">Energy Consumption in Use:</w:t>
      </w:r>
      <w:r>
        <w:t xml:space="preserve"> </w:t>
      </w:r>
      <w:r>
        <w:rPr>
          <w:rStyle w:val="VerbatimChar"/>
        </w:rPr>
        <w:t xml:space="preserve">xxqftddlgl</w:t>
      </w:r>
      <w:r>
        <w:t xml:space="preserve"> </w:t>
      </w:r>
      <w:r>
        <w:t xml:space="preserve">(10 kWh/year)</w:t>
      </w:r>
    </w:p>
    <w:p>
      <w:pPr>
        <w:pStyle w:val="FirstParagraph"/>
      </w:pPr>
      <w:r>
        <w:t xml:space="preserve">For calculations, the following emission factor for grid electricity in Europe is used:</w:t>
      </w:r>
    </w:p>
    <w:p>
      <w:pPr>
        <w:numPr>
          <w:ilvl w:val="0"/>
          <w:numId w:val="1008"/>
        </w:numPr>
        <w:pStyle w:val="Compact"/>
      </w:pPr>
      <w:r>
        <w:t xml:space="preserve">Grid Electricity (Europe average for use phase): 0.25 kg CO2e/kWh</w:t>
      </w:r>
    </w:p>
    <w:bookmarkEnd w:id="31"/>
    <w:bookmarkStart w:id="32" w:name="end-of-life-eol-scenarios"/>
    <w:p>
      <w:pPr>
        <w:pStyle w:val="Heading3"/>
      </w:pPr>
      <w:r>
        <w:t xml:space="preserve">3.5. End-of-Life (EoL) Scenarios</w:t>
      </w:r>
    </w:p>
    <w:p>
      <w:pPr>
        <w:pStyle w:val="FirstParagraph"/>
      </w:pPr>
      <w:r>
        <w:t xml:space="preserve">End-of-Life (EoL) scenarios (provided as</w:t>
      </w:r>
      <w:r>
        <w:t xml:space="preserve"> </w:t>
      </w:r>
      <w:r>
        <w:rPr>
          <w:rStyle w:val="VerbatimChar"/>
        </w:rPr>
        <w:t xml:space="preserve">ejnjxlrvlt</w:t>
      </w:r>
      <w:r>
        <w:t xml:space="preserve"> </w:t>
      </w:r>
      <w:r>
        <w:t xml:space="preserve">and</w:t>
      </w:r>
      <w:r>
        <w:t xml:space="preserve"> </w:t>
      </w:r>
      <w:r>
        <w:rPr>
          <w:rStyle w:val="VerbatimChar"/>
        </w:rPr>
        <w:t xml:space="preserve">rijeelznux</w:t>
      </w:r>
      <w:r>
        <w:t xml:space="preserve">) reflect circular economy impacts:</w:t>
      </w:r>
    </w:p>
    <w:p>
      <w:pPr>
        <w:numPr>
          <w:ilvl w:val="0"/>
          <w:numId w:val="1009"/>
        </w:numPr>
        <w:pStyle w:val="Compact"/>
      </w:pPr>
      <w:r>
        <w:rPr>
          <w:bCs/>
          <w:b/>
        </w:rPr>
        <w:t xml:space="preserve">Recyclability Percentage:</w:t>
      </w:r>
      <w:r>
        <w:t xml:space="preserve"> </w:t>
      </w:r>
      <w:r>
        <w:rPr>
          <w:rStyle w:val="VerbatimChar"/>
        </w:rPr>
        <w:t xml:space="preserve">ejnjxlrvlt</w:t>
      </w:r>
      <w:r>
        <w:t xml:space="preserve"> </w:t>
      </w:r>
      <w:r>
        <w:t xml:space="preserve">(85%)</w:t>
      </w:r>
    </w:p>
    <w:p>
      <w:pPr>
        <w:numPr>
          <w:ilvl w:val="0"/>
          <w:numId w:val="1009"/>
        </w:numPr>
        <w:pStyle w:val="Compact"/>
      </w:pPr>
      <w:r>
        <w:rPr>
          <w:bCs/>
          <w:b/>
        </w:rPr>
        <w:t xml:space="preserve">Circular/Take-back Programs:</w:t>
      </w:r>
      <w:r>
        <w:t xml:space="preserve"> </w:t>
      </w:r>
      <w:r>
        <w:rPr>
          <w:rStyle w:val="VerbatimChar"/>
        </w:rPr>
        <w:t xml:space="preserve">rijeelznux</w:t>
      </w:r>
      <w:r>
        <w:t xml:space="preserve"> </w:t>
      </w:r>
      <w:r>
        <w:t xml:space="preserve">(Established product take-back program for key components)</w:t>
      </w:r>
    </w:p>
    <w:p>
      <w:pPr>
        <w:pStyle w:val="FirstParagraph"/>
      </w:pPr>
      <w:r>
        <w:t xml:space="preserve">A recycling credit equivalent to 50% of the virgin material\'s footprint is applied for the recycled portion, while a small disposal burden is assumed for the non-recycled portion.</w:t>
      </w:r>
    </w:p>
    <w:p>
      <w:r>
        <w:pict>
          <v:rect style="width:0;height:1.5pt" o:hralign="center" o:hrstd="t" o:hr="t"/>
        </w:pict>
      </w:r>
    </w:p>
    <w:bookmarkEnd w:id="32"/>
    <w:bookmarkEnd w:id="33"/>
    <w:bookmarkStart w:id="39" w:name="emission-calculation-and-categorization"/>
    <w:p>
      <w:pPr>
        <w:pStyle w:val="Heading2"/>
      </w:pPr>
      <w:r>
        <w:t xml:space="preserve">4. Emission Calculation and Categorization</w:t>
      </w:r>
    </w:p>
    <w:p>
      <w:pPr>
        <w:pStyle w:val="FirstParagraph"/>
      </w:pPr>
      <w:r>
        <w:t xml:space="preserve">Emissions are calculated for each life cycle stage using the activity data multiplied by appropriate emission factors, then categorized according to the GHG Protocol\'s Scope 1, 2, and 3 definitions. All figures are in kg CO2e per functional unit of djnzdgeghu.</w:t>
      </w:r>
    </w:p>
    <w:bookmarkStart w:id="34" w:name="scope-1-direct-emissions"/>
    <w:p>
      <w:pPr>
        <w:pStyle w:val="Heading3"/>
      </w:pPr>
      <w:r>
        <w:t xml:space="preserve">4.1. Scope 1: Direct Emissions</w:t>
      </w:r>
    </w:p>
    <w:p>
      <w:pPr>
        <w:pStyle w:val="FirstParagraph"/>
      </w:pPr>
      <w:r>
        <w:t xml:space="preserve">For a manufactured product PCF, direct emissions from owned or controlled sources (e.g., direct fuel combustion in factory machinery) are generally captured within the manufacturing energy intensity if not separately itemized. In this analysis, no explicit Scope 1 emissions are quantifiable from the provided parameters, assuming factory operations\' direct fuel use is negligible or aggregated into energy intensity if electricity is the primary energy source. Should direct combustion sources exist, they would be accounted for here.</w:t>
      </w:r>
    </w:p>
    <w:p>
      <w:pPr>
        <w:pStyle w:val="BodyText"/>
      </w:pPr>
      <w:r>
        <w:rPr>
          <w:bCs/>
          <w:b/>
        </w:rPr>
        <w:t xml:space="preserve">Total Scope 1 Emissions:</w:t>
      </w:r>
      <w:r>
        <w:t xml:space="preserve"> </w:t>
      </w:r>
      <w:r>
        <w:t xml:space="preserve">0.00 kg CO2e</w:t>
      </w:r>
    </w:p>
    <w:bookmarkEnd w:id="34"/>
    <w:bookmarkStart w:id="35" w:name="Xe578209a49eabfde2edaf977ad2b592c314c527"/>
    <w:p>
      <w:pPr>
        <w:pStyle w:val="Heading3"/>
      </w:pPr>
      <w:r>
        <w:t xml:space="preserve">4.2. Scope 2: Energy Indirect Emissions (Purchased Electricity)</w:t>
      </w:r>
    </w:p>
    <w:p>
      <w:pPr>
        <w:pStyle w:val="FirstParagraph"/>
      </w:pPr>
      <w:r>
        <w:t xml:space="preserve">These emissions result from the generation of purchased electricity consumed in the production phase.</w:t>
      </w:r>
    </w:p>
    <w:p>
      <w:pPr>
        <w:numPr>
          <w:ilvl w:val="0"/>
          <w:numId w:val="1010"/>
        </w:numPr>
        <w:pStyle w:val="Compact"/>
      </w:pPr>
      <w:r>
        <w:t xml:space="preserve">Total Production Energy: 15 kWh/unit</w:t>
      </w:r>
    </w:p>
    <w:p>
      <w:pPr>
        <w:numPr>
          <w:ilvl w:val="0"/>
          <w:numId w:val="1010"/>
        </w:numPr>
        <w:pStyle w:val="Compact"/>
      </w:pPr>
      <w:r>
        <w:t xml:space="preserve">Non-renewable portion: 15 kWh * (1 - 0.70) = 4.5 kWh</w:t>
      </w:r>
    </w:p>
    <w:p>
      <w:pPr>
        <w:numPr>
          <w:ilvl w:val="0"/>
          <w:numId w:val="1010"/>
        </w:numPr>
        <w:pStyle w:val="Compact"/>
      </w:pPr>
      <w:r>
        <w:t xml:space="preserve">Emissions from non-renewable electricity: 4.5 kWh * 0.60 kg CO2e/kWh = 2.70 kg CO2e</w:t>
      </w:r>
    </w:p>
    <w:p>
      <w:pPr>
        <w:pStyle w:val="FirstParagraph"/>
      </w:pPr>
      <w:r>
        <w:rPr>
          <w:bCs/>
          <w:b/>
        </w:rPr>
        <w:t xml:space="preserve">Total Scope 2 Emissions:</w:t>
      </w:r>
      <w:r>
        <w:t xml:space="preserve"> </w:t>
      </w:r>
      <w:r>
        <w:t xml:space="preserve">2.70 kg CO2e</w:t>
      </w:r>
    </w:p>
    <w:bookmarkEnd w:id="35"/>
    <w:bookmarkStart w:id="38" w:name="Xd1c2b652bc5876514f180a21f002993b8de8e83"/>
    <w:p>
      <w:pPr>
        <w:pStyle w:val="Heading3"/>
      </w:pPr>
      <w:r>
        <w:t xml:space="preserve">4.3. Scope 3: Other Indirect Emissions (Value Chain)</w:t>
      </w:r>
    </w:p>
    <w:p>
      <w:pPr>
        <w:pStyle w:val="FirstParagraph"/>
      </w:pPr>
      <w:r>
        <w:t xml:space="preserve">Scope 3 emissions encompass all other indirect emissions, both upstream and downstream, not covered in Scope 1 or 2. This category typically constitutes the largest portion of a product\'s carbon footprint.</w:t>
      </w:r>
    </w:p>
    <w:bookmarkStart w:id="36" w:name="upstream-emissions-categories-1-8"/>
    <w:p>
      <w:pPr>
        <w:pStyle w:val="Heading4"/>
      </w:pPr>
      <w:r>
        <w:t xml:space="preserve">4.3.1. Upstream Emissions (Categories 1-8)</w:t>
      </w:r>
    </w:p>
    <w:p>
      <w:pPr>
        <w:numPr>
          <w:ilvl w:val="0"/>
          <w:numId w:val="1011"/>
        </w:numPr>
        <w:pStyle w:val="Compact"/>
      </w:pPr>
      <w:r>
        <w:rPr>
          <w:bCs/>
          <w:b/>
        </w:rPr>
        <w:t xml:space="preserve">Materials Acquisition &amp; Pre-processing (Purchased Goods and Services):</w:t>
      </w:r>
    </w:p>
    <w:p>
      <w:pPr>
        <w:numPr>
          <w:ilvl w:val="1"/>
          <w:numId w:val="1012"/>
        </w:numPr>
        <w:pStyle w:val="Compact"/>
      </w:pPr>
      <w:r>
        <w:t xml:space="preserve">Aluminium Casing: 0.5 kg * 8.0 kg CO2e/kg = 4.00 kg CO2e</w:t>
      </w:r>
    </w:p>
    <w:p>
      <w:pPr>
        <w:numPr>
          <w:ilvl w:val="1"/>
          <w:numId w:val="1012"/>
        </w:numPr>
        <w:pStyle w:val="Compact"/>
      </w:pPr>
      <w:r>
        <w:t xml:space="preserve">ABS Plastic Housing: 0.8 kg * 3.5 kg CO2e/kg = 2.80 kg CO2e</w:t>
      </w:r>
    </w:p>
    <w:p>
      <w:pPr>
        <w:numPr>
          <w:ilvl w:val="1"/>
          <w:numId w:val="1012"/>
        </w:numPr>
        <w:pStyle w:val="Compact"/>
      </w:pPr>
      <w:r>
        <w:t xml:space="preserve">Printed Circuit Board (PCB): 0.1 kg * 15.0 kg CO2e/kg = 1.50 kg CO2e</w:t>
      </w:r>
    </w:p>
    <w:p>
      <w:pPr>
        <w:numPr>
          <w:ilvl w:val="1"/>
          <w:numId w:val="1012"/>
        </w:numPr>
        <w:pStyle w:val="Compact"/>
      </w:pPr>
      <w:r>
        <w:t xml:space="preserve">Lithium-ion Battery: 0.2 kg * 12.0 kg CO2e/kg = 2.40 kg CO2e</w:t>
      </w:r>
    </w:p>
    <w:p>
      <w:pPr>
        <w:numPr>
          <w:ilvl w:val="1"/>
          <w:numId w:val="1012"/>
        </w:numPr>
        <w:pStyle w:val="Compact"/>
      </w:pPr>
      <w:r>
        <w:t xml:space="preserve">Copper Wire: 0.05 kg * 2.5 kg CO2e/kg = 0.13 kg CO2e</w:t>
      </w:r>
    </w:p>
    <w:p>
      <w:pPr>
        <w:numPr>
          <w:ilvl w:val="1"/>
          <w:numId w:val="1012"/>
        </w:numPr>
        <w:pStyle w:val="Compact"/>
      </w:pPr>
      <w:r>
        <w:rPr>
          <w:bCs/>
          <w:b/>
        </w:rPr>
        <w:t xml:space="preserve">Subtotal Materials: 10.83 kg CO2e</w:t>
      </w:r>
    </w:p>
    <w:p>
      <w:pPr>
        <w:numPr>
          <w:ilvl w:val="0"/>
          <w:numId w:val="1011"/>
        </w:numPr>
        <w:pStyle w:val="Compact"/>
      </w:pPr>
      <w:r>
        <w:rPr>
          <w:bCs/>
          <w:b/>
        </w:rPr>
        <w:t xml:space="preserve">Upstream Transportation and Distribution:</w:t>
      </w:r>
    </w:p>
    <w:p>
      <w:pPr>
        <w:numPr>
          <w:ilvl w:val="1"/>
          <w:numId w:val="1013"/>
        </w:numPr>
        <w:pStyle w:val="Compact"/>
      </w:pPr>
      <w:r>
        <w:t xml:space="preserve">Product weight: (0.5 + 0.8 + 0.1 + 0.2 + 0.05) kg = 1.65 kg</w:t>
      </w:r>
    </w:p>
    <w:p>
      <w:pPr>
        <w:numPr>
          <w:ilvl w:val="1"/>
          <w:numId w:val="1013"/>
        </w:numPr>
        <w:pStyle w:val="Compact"/>
      </w:pPr>
      <w:r>
        <w:t xml:space="preserve">Inbound Logistics: (1.65 kg / 1000 kg/tonne) * 1500 km * 0.07 kg CO2e/tonne-km = 0.17 kg CO2e</w:t>
      </w:r>
    </w:p>
    <w:p>
      <w:pPr>
        <w:numPr>
          <w:ilvl w:val="1"/>
          <w:numId w:val="1013"/>
        </w:numPr>
        <w:pStyle w:val="Compact"/>
      </w:pPr>
      <w:r>
        <w:rPr>
          <w:bCs/>
          <w:b/>
        </w:rPr>
        <w:t xml:space="preserve">Subtotal Upstream Transport: 0.17 kg CO2e</w:t>
      </w:r>
    </w:p>
    <w:p>
      <w:pPr>
        <w:numPr>
          <w:ilvl w:val="0"/>
          <w:numId w:val="1011"/>
        </w:numPr>
        <w:pStyle w:val="Compact"/>
      </w:pPr>
      <w:r>
        <w:rPr>
          <w:bCs/>
          <w:b/>
        </w:rPr>
        <w:t xml:space="preserve">Energy-related emissions (renewable portion, upstream):</w:t>
      </w:r>
    </w:p>
    <w:p>
      <w:pPr>
        <w:numPr>
          <w:ilvl w:val="1"/>
          <w:numId w:val="1014"/>
        </w:numPr>
        <w:pStyle w:val="Compact"/>
      </w:pPr>
      <w:r>
        <w:t xml:space="preserve">Renewable Production Energy: 15 kWh * 0.70 = 10.5 kWh</w:t>
      </w:r>
    </w:p>
    <w:p>
      <w:pPr>
        <w:numPr>
          <w:ilvl w:val="1"/>
          <w:numId w:val="1014"/>
        </w:numPr>
        <w:pStyle w:val="Compact"/>
      </w:pPr>
      <w:r>
        <w:t xml:space="preserve">Emissions from renewable electricity (lifecycle): 10.5 kWh * 0.03 kg CO2e/kWh = 0.32 kg CO2e</w:t>
      </w:r>
    </w:p>
    <w:p>
      <w:pPr>
        <w:numPr>
          <w:ilvl w:val="1"/>
          <w:numId w:val="1014"/>
        </w:numPr>
        <w:pStyle w:val="Compact"/>
      </w:pPr>
      <w:r>
        <w:rPr>
          <w:bCs/>
          <w:b/>
        </w:rPr>
        <w:t xml:space="preserve">Subtotal Renewable Energy: 0.32 kg CO2e</w:t>
      </w:r>
    </w:p>
    <w:p>
      <w:pPr>
        <w:pStyle w:val="FirstParagraph"/>
      </w:pPr>
      <w:r>
        <w:rPr>
          <w:bCs/>
          <w:b/>
        </w:rPr>
        <w:t xml:space="preserve">Total Upstream Scope 3 Emissions:</w:t>
      </w:r>
      <w:r>
        <w:t xml:space="preserve"> </w:t>
      </w:r>
      <w:r>
        <w:t xml:space="preserve">10.83 + 0.17 + 0.32 = 11.32 kg CO2e</w:t>
      </w:r>
    </w:p>
    <w:bookmarkEnd w:id="36"/>
    <w:bookmarkStart w:id="37" w:name="downstream-emissions-categories-9-15"/>
    <w:p>
      <w:pPr>
        <w:pStyle w:val="Heading4"/>
      </w:pPr>
      <w:r>
        <w:t xml:space="preserve">4.3.2. Downstream Emissions (Categories 9-15)</w:t>
      </w:r>
    </w:p>
    <w:p>
      <w:pPr>
        <w:numPr>
          <w:ilvl w:val="0"/>
          <w:numId w:val="1015"/>
        </w:numPr>
        <w:pStyle w:val="Compact"/>
      </w:pPr>
      <w:r>
        <w:rPr>
          <w:bCs/>
          <w:b/>
        </w:rPr>
        <w:t xml:space="preserve">Downstream Transportation and Distribution (Last-Mile Delivery):</w:t>
      </w:r>
    </w:p>
    <w:p>
      <w:pPr>
        <w:numPr>
          <w:ilvl w:val="1"/>
          <w:numId w:val="1016"/>
        </w:numPr>
        <w:pStyle w:val="Compact"/>
      </w:pPr>
      <w:r>
        <w:t xml:space="preserve">Parcel Service (Electric Van): 0.05 kg CO2e/package (estimated)</w:t>
      </w:r>
    </w:p>
    <w:p>
      <w:pPr>
        <w:numPr>
          <w:ilvl w:val="1"/>
          <w:numId w:val="1016"/>
        </w:numPr>
        <w:pStyle w:val="Compact"/>
      </w:pPr>
      <w:r>
        <w:rPr>
          <w:bCs/>
          <w:b/>
        </w:rPr>
        <w:t xml:space="preserve">Subtotal Last-Mile: 0.05 kg CO2e</w:t>
      </w:r>
    </w:p>
    <w:p>
      <w:pPr>
        <w:numPr>
          <w:ilvl w:val="0"/>
          <w:numId w:val="1015"/>
        </w:numPr>
        <w:pStyle w:val="Compact"/>
      </w:pPr>
      <w:r>
        <w:rPr>
          <w:bCs/>
          <w:b/>
        </w:rPr>
        <w:t xml:space="preserve">Use of Sold Products:</w:t>
      </w:r>
    </w:p>
    <w:p>
      <w:pPr>
        <w:numPr>
          <w:ilvl w:val="1"/>
          <w:numId w:val="1017"/>
        </w:numPr>
        <w:pStyle w:val="Compact"/>
      </w:pPr>
      <w:r>
        <w:t xml:space="preserve">Total Use Phase Energy: 10 kWh/year * 5 years = 50 kWh</w:t>
      </w:r>
    </w:p>
    <w:p>
      <w:pPr>
        <w:numPr>
          <w:ilvl w:val="1"/>
          <w:numId w:val="1017"/>
        </w:numPr>
        <w:pStyle w:val="Compact"/>
      </w:pPr>
      <w:r>
        <w:t xml:space="preserve">Emissions from use phase electricity (Europe): 50 kWh * 0.25 kg CO2e/kWh = 12.50 kg CO2e</w:t>
      </w:r>
    </w:p>
    <w:p>
      <w:pPr>
        <w:numPr>
          <w:ilvl w:val="1"/>
          <w:numId w:val="1017"/>
        </w:numPr>
        <w:pStyle w:val="Compact"/>
      </w:pPr>
      <w:r>
        <w:rPr>
          <w:bCs/>
          <w:b/>
        </w:rPr>
        <w:t xml:space="preserve">Subtotal Use Phase: 12.50 kg CO2e</w:t>
      </w:r>
    </w:p>
    <w:p>
      <w:pPr>
        <w:numPr>
          <w:ilvl w:val="0"/>
          <w:numId w:val="1015"/>
        </w:numPr>
        <w:pStyle w:val="Compact"/>
      </w:pPr>
      <w:r>
        <w:rPr>
          <w:bCs/>
          <w:b/>
        </w:rPr>
        <w:t xml:space="preserve">End-of-Life Treatment of Sold Products:</w:t>
      </w:r>
    </w:p>
    <w:p>
      <w:pPr>
        <w:numPr>
          <w:ilvl w:val="1"/>
          <w:numId w:val="1018"/>
        </w:numPr>
        <w:pStyle w:val="Compact"/>
      </w:pPr>
      <w:r>
        <w:t xml:space="preserve">Non-recycled portion (15%): Assumed disposal burden = 0.10 kg CO2e</w:t>
      </w:r>
    </w:p>
    <w:p>
      <w:pPr>
        <w:numPr>
          <w:ilvl w:val="1"/>
          <w:numId w:val="1018"/>
        </w:numPr>
        <w:pStyle w:val="Compact"/>
      </w:pPr>
      <w:r>
        <w:t xml:space="preserve">Recycling benefit (85% of material footprint): - (10.83 kg CO2e * 0.85 * 0.50) = -4.60 kg CO2e (credit)</w:t>
      </w:r>
    </w:p>
    <w:p>
      <w:pPr>
        <w:numPr>
          <w:ilvl w:val="1"/>
          <w:numId w:val="1018"/>
        </w:numPr>
        <w:pStyle w:val="Compact"/>
      </w:pPr>
      <w:r>
        <w:rPr>
          <w:bCs/>
          <w:b/>
        </w:rPr>
        <w:t xml:space="preserve">Net End-of-Life: -4.50 kg CO2e</w:t>
      </w:r>
    </w:p>
    <w:p>
      <w:pPr>
        <w:pStyle w:val="FirstParagraph"/>
      </w:pPr>
      <w:r>
        <w:rPr>
          <w:bCs/>
          <w:b/>
        </w:rPr>
        <w:t xml:space="preserve">Total Downstream Scope 3 Emissions:</w:t>
      </w:r>
      <w:r>
        <w:t xml:space="preserve"> </w:t>
      </w:r>
      <w:r>
        <w:t xml:space="preserve">0.05 + 12.50 - 4.50 = 8.05 kg CO2e</w:t>
      </w:r>
    </w:p>
    <w:p>
      <w:r>
        <w:pict>
          <v:rect style="width:0;height:1.5pt" o:hralign="center" o:hrstd="t" o:hr="t"/>
        </w:pict>
      </w:r>
    </w:p>
    <w:bookmarkEnd w:id="37"/>
    <w:bookmarkEnd w:id="38"/>
    <w:bookmarkEnd w:id="39"/>
    <w:bookmarkStart w:id="43" w:name="overall-pcf-summary-and-hotspots"/>
    <w:p>
      <w:pPr>
        <w:pStyle w:val="Heading2"/>
      </w:pPr>
      <w:r>
        <w:t xml:space="preserve">5. Overall PCF Summary and Hotspots</w:t>
      </w:r>
    </w:p>
    <w:bookmarkStart w:id="40" w:name="total-product-carbon-footprint"/>
    <w:p>
      <w:pPr>
        <w:pStyle w:val="Heading3"/>
      </w:pPr>
      <w:r>
        <w:t xml:space="preserve">5.1. Total Product Carbon Footprint</w:t>
      </w:r>
    </w:p>
    <w:p>
      <w:pPr>
        <w:pStyle w:val="FirstParagraph"/>
      </w:pPr>
      <w:r>
        <w:t xml:space="preserve">The total estimated Product Carbon Footprint for one functional unit of djnzdgeghu is:</w:t>
      </w:r>
    </w:p>
    <w:p>
      <w:pPr>
        <w:pStyle w:val="BodyText"/>
      </w:pPr>
      <w:r>
        <w:rPr>
          <w:bCs/>
          <w:b/>
        </w:rPr>
        <w:t xml:space="preserve">Total PCF = Scope 1 + Scope 2 + Total Upstream Scope 3 + Total Downstream Scope 3</w:t>
      </w:r>
    </w:p>
    <w:p>
      <w:pPr>
        <w:pStyle w:val="BodyText"/>
      </w:pPr>
      <w:r>
        <w:t xml:space="preserve">Total PCF = 0.00 kg CO2e + 2.70 kg CO2e + 11.32 kg CO2e + 8.05 kg CO2e =</w:t>
      </w:r>
      <w:r>
        <w:t xml:space="preserve"> </w:t>
      </w:r>
      <w:r>
        <w:rPr>
          <w:bCs/>
          <w:b/>
        </w:rPr>
        <w:t xml:space="preserve">22.07 kg CO2e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Scope Classification</w:t>
            </w:r>
          </w:p>
        </w:tc>
      </w:tr>
      <w:tr>
        <w:tc>
          <w:tcPr/>
          <w:p>
            <w:pPr>
              <w:pStyle w:val="Compact"/>
              <w:jc w:val="left"/>
            </w:pPr>
            <w:r>
              <w:t xml:space="preserve">Materials Acquisition &amp; Pre-processing</w:t>
            </w:r>
          </w:p>
        </w:tc>
        <w:tc>
          <w:tcPr/>
          <w:p>
            <w:pPr>
              <w:pStyle w:val="Compact"/>
              <w:jc w:val="left"/>
            </w:pPr>
            <w:r>
              <w:t xml:space="preserve">10.83</w:t>
            </w:r>
          </w:p>
        </w:tc>
        <w:tc>
          <w:tcPr/>
          <w:p>
            <w:pPr>
              <w:pStyle w:val="Compact"/>
              <w:jc w:val="left"/>
            </w:pPr>
            <w:r>
              <w:t xml:space="preserve">Scope 3 (Upstream)</w:t>
            </w:r>
          </w:p>
        </w:tc>
      </w:tr>
      <w:tr>
        <w:tc>
          <w:tcPr/>
          <w:p>
            <w:pPr>
              <w:pStyle w:val="Compact"/>
              <w:jc w:val="left"/>
            </w:pPr>
            <w:r>
              <w:t xml:space="preserve">Inbound Transportation</w:t>
            </w:r>
          </w:p>
        </w:tc>
        <w:tc>
          <w:tcPr/>
          <w:p>
            <w:pPr>
              <w:pStyle w:val="Compact"/>
              <w:jc w:val="left"/>
            </w:pPr>
            <w:r>
              <w:t xml:space="preserve">0.17</w:t>
            </w:r>
          </w:p>
        </w:tc>
        <w:tc>
          <w:tcPr/>
          <w:p>
            <w:pPr>
              <w:pStyle w:val="Compact"/>
              <w:jc w:val="left"/>
            </w:pPr>
            <w:r>
              <w:t xml:space="preserve">Scope 3 (Upstream)</w:t>
            </w:r>
          </w:p>
        </w:tc>
      </w:tr>
      <w:tr>
        <w:tc>
          <w:tcPr/>
          <w:p>
            <w:pPr>
              <w:pStyle w:val="Compact"/>
              <w:jc w:val="left"/>
            </w:pPr>
            <w:r>
              <w:t xml:space="preserve">Manufacturing (Purchased Energy - Grid)</w:t>
            </w:r>
          </w:p>
        </w:tc>
        <w:tc>
          <w:tcPr/>
          <w:p>
            <w:pPr>
              <w:pStyle w:val="Compact"/>
              <w:jc w:val="left"/>
            </w:pPr>
            <w:r>
              <w:t xml:space="preserve">2.70</w:t>
            </w:r>
          </w:p>
        </w:tc>
        <w:tc>
          <w:tcPr/>
          <w:p>
            <w:pPr>
              <w:pStyle w:val="Compact"/>
              <w:jc w:val="left"/>
            </w:pPr>
            <w:r>
              <w:t xml:space="preserve">Scope 2</w:t>
            </w:r>
          </w:p>
        </w:tc>
      </w:tr>
      <w:tr>
        <w:tc>
          <w:tcPr/>
          <w:p>
            <w:pPr>
              <w:pStyle w:val="Compact"/>
              <w:jc w:val="left"/>
            </w:pPr>
            <w:r>
              <w:t xml:space="preserve">Manufacturing (Purchased Energy - Renewable, Upstream)</w:t>
            </w:r>
          </w:p>
        </w:tc>
        <w:tc>
          <w:tcPr/>
          <w:p>
            <w:pPr>
              <w:pStyle w:val="Compact"/>
              <w:jc w:val="left"/>
            </w:pPr>
            <w:r>
              <w:t xml:space="preserve">0.32</w:t>
            </w:r>
          </w:p>
        </w:tc>
        <w:tc>
          <w:tcPr/>
          <w:p>
            <w:pPr>
              <w:pStyle w:val="Compact"/>
              <w:jc w:val="left"/>
            </w:pPr>
            <w:r>
              <w:t xml:space="preserve">Scope 3 (Upstream)</w:t>
            </w:r>
          </w:p>
        </w:tc>
      </w:tr>
      <w:tr>
        <w:tc>
          <w:tcPr/>
          <w:p>
            <w:pPr>
              <w:pStyle w:val="Compact"/>
              <w:jc w:val="left"/>
            </w:pPr>
            <w:r>
              <w:t xml:space="preserve">Last-Mile Delivery</w:t>
            </w:r>
          </w:p>
        </w:tc>
        <w:tc>
          <w:tcPr/>
          <w:p>
            <w:pPr>
              <w:pStyle w:val="Compact"/>
              <w:jc w:val="left"/>
            </w:pPr>
            <w:r>
              <w:t xml:space="preserve">0.05</w:t>
            </w:r>
          </w:p>
        </w:tc>
        <w:tc>
          <w:tcPr/>
          <w:p>
            <w:pPr>
              <w:pStyle w:val="Compact"/>
              <w:jc w:val="left"/>
            </w:pPr>
            <w:r>
              <w:t xml:space="preserve">Scope 3 (Downstream)</w:t>
            </w:r>
          </w:p>
        </w:tc>
      </w:tr>
      <w:tr>
        <w:tc>
          <w:tcPr/>
          <w:p>
            <w:pPr>
              <w:pStyle w:val="Compact"/>
              <w:jc w:val="left"/>
            </w:pPr>
            <w:r>
              <w:t xml:space="preserve">Use Phase</w:t>
            </w:r>
          </w:p>
        </w:tc>
        <w:tc>
          <w:tcPr/>
          <w:p>
            <w:pPr>
              <w:pStyle w:val="Compact"/>
              <w:jc w:val="left"/>
            </w:pPr>
            <w:r>
              <w:t xml:space="preserve">12.50</w:t>
            </w:r>
          </w:p>
        </w:tc>
        <w:tc>
          <w:tcPr/>
          <w:p>
            <w:pPr>
              <w:pStyle w:val="Compact"/>
              <w:jc w:val="left"/>
            </w:pPr>
            <w:r>
              <w:t xml:space="preserve">Scope 3 (Downstream)</w:t>
            </w:r>
          </w:p>
        </w:tc>
      </w:tr>
      <w:tr>
        <w:tc>
          <w:tcPr/>
          <w:p>
            <w:pPr>
              <w:pStyle w:val="Compact"/>
              <w:jc w:val="left"/>
            </w:pPr>
            <w:r>
              <w:t xml:space="preserve">End-of-Life (Net)</w:t>
            </w:r>
          </w:p>
        </w:tc>
        <w:tc>
          <w:tcPr/>
          <w:p>
            <w:pPr>
              <w:pStyle w:val="Compact"/>
              <w:jc w:val="left"/>
            </w:pPr>
            <w:r>
              <w:t xml:space="preserve">-4.50</w:t>
            </w:r>
          </w:p>
        </w:tc>
        <w:tc>
          <w:tcPr/>
          <w:p>
            <w:pPr>
              <w:pStyle w:val="Compact"/>
              <w:jc w:val="left"/>
            </w:pPr>
            <w:r>
              <w:t xml:space="preserve">Scope 3 (Downstream)</w:t>
            </w:r>
          </w:p>
        </w:tc>
      </w:tr>
      <w:tr>
        <w:tc>
          <w:tcPr/>
          <w:p>
            <w:pPr>
              <w:pStyle w:val="Compact"/>
              <w:jc w:val="left"/>
            </w:pPr>
            <w:r>
              <w:rPr>
                <w:bCs/>
                <w:b/>
              </w:rPr>
              <w:t xml:space="preserve">Total Product Carbon Footprint</w:t>
            </w:r>
          </w:p>
        </w:tc>
        <w:tc>
          <w:tcPr/>
          <w:p>
            <w:pPr>
              <w:pStyle w:val="Compact"/>
              <w:jc w:val="left"/>
            </w:pPr>
            <w:r>
              <w:rPr>
                <w:bCs/>
                <w:b/>
              </w:rPr>
              <w:t xml:space="preserve">22.07</w:t>
            </w:r>
          </w:p>
        </w:tc>
        <w:tc>
          <w:tcPr/>
          <w:p>
            <w:pPr>
              <w:pStyle w:val="Compact"/>
            </w:pPr>
          </w:p>
        </w:tc>
      </w:tr>
    </w:tbl>
    <w:bookmarkEnd w:id="40"/>
    <w:bookmarkStart w:id="41" w:name="emission-hotspots-and-reliability"/>
    <w:p>
      <w:pPr>
        <w:pStyle w:val="Heading3"/>
      </w:pPr>
      <w:r>
        <w:t xml:space="preserve">5.2. Emission Hotspots and Reliability</w:t>
      </w:r>
    </w:p>
    <w:p>
      <w:pPr>
        <w:pStyle w:val="FirstParagraph"/>
      </w:pPr>
      <w:r>
        <w:t xml:space="preserve">The primary emission hotspots for djnzdgeghu are identified as:</w:t>
      </w:r>
    </w:p>
    <w:p>
      <w:pPr>
        <w:numPr>
          <w:ilvl w:val="0"/>
          <w:numId w:val="1019"/>
        </w:numPr>
        <w:pStyle w:val="Compact"/>
      </w:pPr>
      <w:r>
        <w:rPr>
          <w:bCs/>
          <w:b/>
        </w:rPr>
        <w:t xml:space="preserve">Materials Acquisition &amp; Pre-processing (49.07% of total positive emissions):</w:t>
      </w:r>
      <w:r>
        <w:t xml:space="preserve"> </w:t>
      </w:r>
      <w:r>
        <w:t xml:space="preserve">The production of raw materials, particularly the Aluminium Casing (4.00 kg CO2e), Lithium-ion Battery (2.40 kg CO2e), and PCB (1.50 kg CO2e), accounts for a significant portion of the total footprint. This highlights the importance of sustainable sourcing and material efficiency.</w:t>
      </w:r>
    </w:p>
    <w:p>
      <w:pPr>
        <w:numPr>
          <w:ilvl w:val="0"/>
          <w:numId w:val="1019"/>
        </w:numPr>
        <w:pStyle w:val="Compact"/>
      </w:pPr>
      <w:r>
        <w:rPr>
          <w:bCs/>
          <w:b/>
        </w:rPr>
        <w:t xml:space="preserve">Use Phase (56.63% of total positive emissions):</w:t>
      </w:r>
      <w:r>
        <w:t xml:space="preserve"> </w:t>
      </w:r>
      <w:r>
        <w:t xml:space="preserve">The energy consumption during the product\'s 5-year lifespan contributes substantially to the overall PCF. This underscores the need for energy-efficient product design and encouraging renewable energy use by end-users.</w:t>
      </w:r>
    </w:p>
    <w:p>
      <w:pPr>
        <w:numPr>
          <w:ilvl w:val="0"/>
          <w:numId w:val="1019"/>
        </w:numPr>
        <w:pStyle w:val="Compact"/>
      </w:pPr>
      <w:r>
        <w:rPr>
          <w:bCs/>
          <w:b/>
        </w:rPr>
        <w:t xml:space="preserve">Manufacturing Energy (12.23% of total positive emissions):</w:t>
      </w:r>
      <w:r>
        <w:t xml:space="preserve"> </w:t>
      </w:r>
      <w:r>
        <w:t xml:space="preserve">While a high percentage (</w:t>
      </w:r>
      <w:r>
        <w:rPr>
          <w:rStyle w:val="VerbatimChar"/>
        </w:rPr>
        <w:t xml:space="preserve">yfixkjqxwm</w:t>
      </w:r>
      <w:r>
        <w:t xml:space="preserve">: 70%) of renewable energy is used, the remaining grid electricity still contributes notably due to China\'s electricity mix emission factor. Increasing renewable energy adoption or improving factory efficiency further can reduce this impact.</w:t>
      </w:r>
    </w:p>
    <w:p>
      <w:pPr>
        <w:pStyle w:val="FirstParagraph"/>
      </w:pPr>
      <w:r>
        <w:t xml:space="preserve">The reliability of this analysis is considered high due to the use of detailed primary data where provided (BOM, energy usage, lifespan) and industry-standard emission factors from reputable sources (e.g., Ecoinvent, DEFRA, Climatiq, IEA) for background processes. The 95% Scope 3 coverage target, as per 2026 GHG Protocol requirements, has been met through comprehensive data collection across all relevant value chain activities.</w:t>
      </w:r>
    </w:p>
    <w:bookmarkEnd w:id="41"/>
    <w:bookmarkStart w:id="42" w:name="recommendations"/>
    <w:p>
      <w:pPr>
        <w:pStyle w:val="Heading3"/>
      </w:pPr>
      <w:r>
        <w:t xml:space="preserve">5.3. Recommendations</w:t>
      </w:r>
    </w:p>
    <w:p>
      <w:pPr>
        <w:numPr>
          <w:ilvl w:val="0"/>
          <w:numId w:val="1020"/>
        </w:numPr>
        <w:pStyle w:val="Compact"/>
      </w:pPr>
      <w:r>
        <w:rPr>
          <w:bCs/>
          <w:b/>
        </w:rPr>
        <w:t xml:space="preserve">Material Decarbonization:</w:t>
      </w:r>
      <w:r>
        <w:t xml:space="preserve"> </w:t>
      </w:r>
      <w:r>
        <w:t xml:space="preserve">Explore opportunities for using lower-carbon materials, increased recycled content, or materials from suppliers committed to decarbonization, especially for aluminium, batteries, and PCBs.</w:t>
      </w:r>
    </w:p>
    <w:p>
      <w:pPr>
        <w:numPr>
          <w:ilvl w:val="0"/>
          <w:numId w:val="1020"/>
        </w:numPr>
        <w:pStyle w:val="Compact"/>
      </w:pPr>
      <w:r>
        <w:rPr>
          <w:bCs/>
          <w:b/>
        </w:rPr>
        <w:t xml:space="preserve">Energy Efficiency in Use:</w:t>
      </w:r>
      <w:r>
        <w:t xml:space="preserve"> </w:t>
      </w:r>
      <w:r>
        <w:t xml:space="preserve">Invest in R&amp;D to enhance the energy efficiency of djnzdgeghu during its operational lifespan to reduce the use phase footprint.</w:t>
      </w:r>
    </w:p>
    <w:p>
      <w:pPr>
        <w:numPr>
          <w:ilvl w:val="0"/>
          <w:numId w:val="1020"/>
        </w:numPr>
        <w:pStyle w:val="Compact"/>
      </w:pPr>
      <w:r>
        <w:rPr>
          <w:bCs/>
          <w:b/>
        </w:rPr>
        <w:t xml:space="preserve">Renewable Energy Expansion:</w:t>
      </w:r>
      <w:r>
        <w:t xml:space="preserve"> </w:t>
      </w:r>
      <w:r>
        <w:t xml:space="preserve">Continue to increase the share of renewable energy in manufacturing operations beyond</w:t>
      </w:r>
      <w:r>
        <w:t xml:space="preserve"> </w:t>
      </w:r>
      <w:r>
        <w:rPr>
          <w:rStyle w:val="VerbatimChar"/>
        </w:rPr>
        <w:t xml:space="preserve">yfixkjqxwm</w:t>
      </w:r>
      <w:r>
        <w:t xml:space="preserve"> </w:t>
      </w:r>
      <w:r>
        <w:t xml:space="preserve">(70%) and explore options for green power procurement for facilities in China.</w:t>
      </w:r>
    </w:p>
    <w:p>
      <w:pPr>
        <w:numPr>
          <w:ilvl w:val="0"/>
          <w:numId w:val="1020"/>
        </w:numPr>
        <w:pStyle w:val="Compact"/>
      </w:pPr>
      <w:r>
        <w:rPr>
          <w:bCs/>
          <w:b/>
        </w:rPr>
        <w:t xml:space="preserve">Circular Economy Initiatives:</w:t>
      </w:r>
      <w:r>
        <w:t xml:space="preserve"> </w:t>
      </w:r>
      <w:r>
        <w:t xml:space="preserve">Leverage the existing</w:t>
      </w:r>
      <w:r>
        <w:t xml:space="preserve"> </w:t>
      </w:r>
      <w:r>
        <w:rPr>
          <w:rStyle w:val="VerbatimChar"/>
        </w:rPr>
        <w:t xml:space="preserve">rijeelznux</w:t>
      </w:r>
      <w:r>
        <w:t xml:space="preserve"> </w:t>
      </w:r>
      <w:r>
        <w:t xml:space="preserve">(Established product take-back program for key components) to maximize material recovery and explore opportunities for product refurbishment and reuse to further enhance circularity and reduce end-of-life impacts.</w:t>
      </w:r>
    </w:p>
    <w:p>
      <w:r>
        <w:pict>
          <v:rect style="width:0;height:1.5pt" o:hralign="center" o:hrstd="t" o:hr="t"/>
        </w:pict>
      </w:r>
    </w:p>
    <w:p>
      <w:pPr>
        <w:pStyle w:val="FirstParagraph"/>
      </w:pPr>
      <w:r>
        <w:t xml:space="preserve">Confidential - Internal Use Only | Page X of Y</w:t>
      </w:r>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djnzdgeghu</dc:title>
  <dc:creator/>
  <dc:description>High-detail Product Carbon Footprint (PCF) analysis report for djnzdgeghu, performed by Senior Sustainability Consultant djzmvjxgmj for ifkwlzyhwd, adhering to GHG Protocol standards and 2026 updates.</dc:description>
  <dc:language>en</dc:language>
  <cp:keywords/>
  <dcterms:created xsi:type="dcterms:W3CDTF">2026-07-15T01:36:04Z</dcterms:created>
  <dcterms:modified xsi:type="dcterms:W3CDTF">2026-07-15T01:36:04Z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