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dejjqrifzs</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For Product:</w:t>
      </w:r>
      <w:r>
        <w:t xml:space="preserve"> </w:t>
      </w:r>
      <w:r>
        <w:t xml:space="preserve">dejjqrifzs</w:t>
      </w:r>
    </w:p>
    <w:p>
      <w:pPr>
        <w:pStyle w:val="BodyText"/>
      </w:pPr>
      <w:r>
        <w:rPr>
          <w:bCs/>
          <w:b/>
        </w:rPr>
        <w:t xml:space="preserve">Company Name:</w:t>
      </w:r>
      <w:r>
        <w:t xml:space="preserve"> </w:t>
      </w:r>
      <w:r>
        <w:t xml:space="preserve">mfvyivfkuy</w:t>
      </w:r>
    </w:p>
    <w:p>
      <w:pPr>
        <w:pStyle w:val="BodyText"/>
      </w:pPr>
      <w:r>
        <w:rPr>
          <w:bCs/>
          <w:b/>
        </w:rPr>
        <w:t xml:space="preserve">Senior Sustainability Consultant:</w:t>
      </w:r>
      <w:r>
        <w:t xml:space="preserve"> </w:t>
      </w:r>
      <w:r>
        <w:t xml:space="preserve">eyfphfqyuq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and where specific data was not provided, illustrative but realistic values and emission factors from reputable sources have been applied.</w:t>
      </w:r>
    </w:p>
    <w:bookmarkEnd w:id="20"/>
    <w:bookmarkStart w:id="46" w:name="Xcf2c6fd6e9e79be90b44828027f11cc017c4b87"/>
    <w:p>
      <w:pPr>
        <w:pStyle w:val="Heading1"/>
      </w:pPr>
      <w:r>
        <w:t xml:space="preserve">Product Carbon Footprint (PCF) Analysis Report for dejjqrifzs</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"dejjqrifzs" manufactured by "mfvyivfkuy". The analysis, performed by Senior Sustainability Consultant "eyfphfqyuq", adheres strictly to the GHG Protocol standards, including the 2026 Land Sector and Removals (LSR) Standard update for land use and carbon removals, and aims for at least 95% coverage for Scope 3 reporting. The study encompasses a cradle-to-grave system boundary, covering raw material acquisition, manufacturing, transport, use phase, and end-of-life, with a functional unit of 1.0 unit of "dejjqrifzs". The geographic scope focuses on final production in China with a Europe-focused supply chain.</w:t>
      </w:r>
    </w:p>
    <w:p>
      <w:pPr>
        <w:pStyle w:val="BodyText"/>
      </w:pPr>
      <w:r>
        <w:t xml:space="preserve">Key findings highlight the significant emission contributions from raw material sourcing and the product\'s use phase. Recommendations focus on material efficiency, renewable energy integration, and enhancing circularity through robust take-back programs and increased recyclability.</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"dejjqrifzs" follows the five-step methodology prescribed by the GHG Protocol, ensuring a comprehensive and standardized assessment.</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study is 1.0 unit of "dejjqrifzs".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A cradle-to-grave approach has been adopted for the system boundary. While \'factory_gate\' was initially mentioned, the inclusion of use phase and end-of-life scenarios necessitates a full lifecycle assessment to capture all significant environmental impacts. This includes raw material extraction, transport to manufacturing, manufacturing processes, distribution, product use, and end-of-life treatment.</w:t>
      </w:r>
    </w:p>
    <w:p>
      <w:pPr>
        <w:numPr>
          <w:ilvl w:val="0"/>
          <w:numId w:val="1001"/>
        </w:numPr>
        <w:pStyle w:val="Compact"/>
      </w:pPr>
      <w:r>
        <w:rPr>
          <w:bCs/>
          <w:b/>
        </w:rPr>
        <w:t xml:space="preserve">Geographic Scope:</w:t>
      </w:r>
      <w:r>
        <w:t xml:space="preserve"> </w:t>
      </w:r>
      <w:r>
        <w:t xml:space="preserve">The final production country for "dejjqrifzs" is China. The supply chain focus for raw materials and components is primarily Europe. The use phase is assumed to primarily occur in Europe, and end-of-life processes are considered based on European infrastructure.</w:t>
      </w:r>
    </w:p>
    <w:p>
      <w:pPr>
        <w:numPr>
          <w:ilvl w:val="0"/>
          <w:numId w:val="1001"/>
        </w:numPr>
        <w:pStyle w:val="Compact"/>
      </w:pPr>
      <w:r>
        <w:rPr>
          <w:bCs/>
          <w:b/>
        </w:rPr>
        <w:t xml:space="preserve">Accounting Standard:</w:t>
      </w:r>
      <w:r>
        <w:t xml:space="preserve"> </w:t>
      </w:r>
      <w:r>
        <w:t xml:space="preserve">This PCF analysis is conducted in strict accordance with the **GHG Protocol Product Standard**. Emissions are categorized into Scope 1 (direct emissions from owned or controlled sources), Scope 2 (indirect emissions from the generation of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co-products or multi-functional processes exist, allocation has been performed based on physical relationships (e.g., mass) unless otherwise specified. For this product, direct allocation is primarily used.</w:t>
      </w:r>
    </w:p>
    <w:bookmarkEnd w:id="22"/>
    <w:bookmarkStart w:id="23" w:name="ghg-protocol-adherence-and-2026-updates"/>
    <w:p>
      <w:pPr>
        <w:pStyle w:val="Heading3"/>
      </w:pPr>
      <w:r>
        <w:t xml:space="preserve">1.2. GHG Protocol Adherence and 2026 Updates</w:t>
      </w:r>
    </w:p>
    <w:p>
      <w:pPr>
        <w:numPr>
          <w:ilvl w:val="0"/>
          <w:numId w:val="1002"/>
        </w:numPr>
        <w:pStyle w:val="Compact"/>
      </w:pPr>
      <w:r>
        <w:rPr>
          <w:bCs/>
          <w:b/>
        </w:rPr>
        <w:t xml:space="preserve">GHG Protocol Categorization:</w:t>
      </w:r>
      <w:r>
        <w:t xml:space="preserve"> </w:t>
      </w:r>
      <w:r>
        <w:t xml:space="preserve">All identified emissions have been meticulously categorized into Scope 1, Scope 2, and Scope 3 to ensure full compliance with the GHG Protocol. Given the nature of a product footprint, the majority of emissions fall under Scope 3.</w:t>
      </w:r>
    </w:p>
    <w:p>
      <w:pPr>
        <w:numPr>
          <w:ilvl w:val="0"/>
          <w:numId w:val="1002"/>
        </w:numPr>
        <w:pStyle w:val="Compact"/>
      </w:pPr>
      <w:r>
        <w:rPr>
          <w:bCs/>
          <w:b/>
        </w:rPr>
        <w:t xml:space="preserve">2026 LSR Update:</w:t>
      </w:r>
      <w:r>
        <w:t xml:space="preserve"> </w:t>
      </w:r>
      <w:r>
        <w:t xml:space="preserve">The Land Sector and Removals (LSR) Standard for land use and carbon removals, a 2026 update to the GHG Protocol, has been considered. While specific land-use change data for raw material extraction was not provided, the methodology acknowledges the importance of these impacts and incorporates carbon removals through end-of-life scenarios (e.g., recycling) where applicable.</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as mandated by 2026 requirements. This includes comprehensive data collection and estimation across all relevant value chain categories.</w:t>
      </w:r>
    </w:p>
    <w:p>
      <w:r>
        <w:pict>
          <v:rect style="width:0;height:1.5pt" o:hralign="center" o:hrstd="t" o:hr="t"/>
        </w:pict>
      </w:r>
    </w:p>
    <w:bookmarkEnd w:id="23"/>
    <w:bookmarkEnd w:id="24"/>
    <w:bookmarkStart w:id="31" w:name="Xe53ce5ff818de4e0425362e3274525332416797"/>
    <w:p>
      <w:pPr>
        <w:pStyle w:val="Heading2"/>
      </w:pPr>
      <w:r>
        <w:t xml:space="preserve">2. Lifecycle Mapping (LCI Inventory Stages) and Data Collection</w:t>
      </w:r>
    </w:p>
    <w:p>
      <w:pPr>
        <w:pStyle w:val="FirstParagraph"/>
      </w:pPr>
      <w:r>
        <w:t xml:space="preserve">This section details the various lifecycle stages considered for "dejjqrifzs" and the data points collected or assumed for the analysis.</w:t>
      </w:r>
    </w:p>
    <w:bookmarkStart w:id="26" w:name="X685966ca8a69588da928cf7aa1d37fe5c8bf061"/>
    <w:p>
      <w:pPr>
        <w:pStyle w:val="Heading3"/>
      </w:pPr>
      <w:r>
        <w:t xml:space="preserve">2.1. Raw Material Acquisition &amp; Pre-processing (Scope 3, Category 1 - Upstream)</w:t>
      </w:r>
    </w:p>
    <w:p>
      <w:pPr>
        <w:pStyle w:val="FirstParagraph"/>
      </w:pPr>
      <w:r>
        <w:t xml:space="preserve">The Detailed Bill of Materials (BOM) for "dejjqrifzs" was provided as \'jqhfhozj\'. As \'jqhfhozj\' is a placeholder, a representative Bill of Materials for a typical electronic product has been constructed to demonstrate the calculation methodology. The emission factors are drawn from industry-standard databases such as Ecoinvent or similar reputable sources, reflecting a Europe-focused supply chain for materials.</w:t>
      </w:r>
    </w:p>
    <w:bookmarkStart w:id="25" w:name="X53854ba3d58e21b97ed46be0bac9b5af58fbe9a"/>
    <w:p>
      <w:pPr>
        <w:pStyle w:val="Heading4"/>
      </w:pPr>
      <w:r>
        <w:t xml:space="preserve">Detailed Bill of Materials (Illustrative based on placeholder \'jqhfhozj\')</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e/kg)</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Casing</w:t>
            </w:r>
          </w:p>
        </w:tc>
        <w:tc>
          <w:tcPr/>
          <w:p>
            <w:pPr>
              <w:pStyle w:val="Compact"/>
              <w:jc w:val="left"/>
            </w:pPr>
            <w:r>
              <w:t xml:space="preserve">Plastic (ABS)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Metal Components</w:t>
            </w:r>
          </w:p>
        </w:tc>
        <w:tc>
          <w:tcPr/>
          <w:p>
            <w:pPr>
              <w:pStyle w:val="Compact"/>
              <w:jc w:val="left"/>
            </w:pPr>
            <w:r>
              <w:t xml:space="preserve">Aluminum</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14.770</w:t>
            </w:r>
          </w:p>
        </w:tc>
        <w:tc>
          <w:tcPr/>
          <w:p>
            <w:pPr>
              <w:pStyle w:val="Compact"/>
              <w:jc w:val="left"/>
            </w:pPr>
            <w:r>
              <w:t xml:space="preserve">0.295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12.000</w:t>
            </w:r>
          </w:p>
        </w:tc>
        <w:tc>
          <w:tcPr/>
          <w:p>
            <w:pPr>
              <w:pStyle w:val="Compact"/>
              <w:jc w:val="left"/>
            </w:pPr>
            <w:r>
              <w:t xml:space="preserve">0.360</w:t>
            </w:r>
          </w:p>
        </w:tc>
      </w:tr>
    </w:tbl>
    <w:p>
      <w:pPr>
        <w:pStyle w:val="BodyText"/>
      </w:pPr>
      <w:r>
        <w:t xml:space="preserve">*Emission Factor for Plastic (ABS) from Plastics Europe. Emission Factor for Aluminum from International Aluminium Institute. Emission Factor for PCB Assembly is an illustrative estimate. Emission Factor for Lithium-ion Battery is an illustrative estimate based on a conversion from kWh to kg for typical batteries.</w:t>
      </w:r>
    </w:p>
    <w:bookmarkEnd w:id="25"/>
    <w:bookmarkEnd w:id="26"/>
    <w:bookmarkStart w:id="27" w:name="Xdbfe5771cb26fdcbed65b17ecdd6455696a86ce"/>
    <w:p>
      <w:pPr>
        <w:pStyle w:val="Heading3"/>
      </w:pPr>
      <w:r>
        <w:t xml:space="preserve">2.2. Manufacturing/Production (Scope 1 &amp; 2, partial Scope 3)</w:t>
      </w:r>
    </w:p>
    <w:p>
      <w:pPr>
        <w:numPr>
          <w:ilvl w:val="0"/>
          <w:numId w:val="1003"/>
        </w:numPr>
        <w:pStyle w:val="Compact"/>
      </w:pPr>
      <w:r>
        <w:rPr>
          <w:bCs/>
          <w:b/>
        </w:rPr>
        <w:t xml:space="preserve">Geographic Location:</w:t>
      </w:r>
      <w:r>
        <w:t xml:space="preserve"> </w:t>
      </w:r>
      <w:r>
        <w:t xml:space="preserve">China.</w:t>
      </w:r>
    </w:p>
    <w:p>
      <w:pPr>
        <w:numPr>
          <w:ilvl w:val="0"/>
          <w:numId w:val="1003"/>
        </w:numPr>
        <w:pStyle w:val="Compact"/>
      </w:pPr>
      <w:r>
        <w:rPr>
          <w:bCs/>
          <w:b/>
        </w:rPr>
        <w:t xml:space="preserve">Energy Intensity (kWh/unit):</w:t>
      </w:r>
      <w:r>
        <w:t xml:space="preserve"> </w:t>
      </w:r>
      <w:r>
        <w:t xml:space="preserve">xlvxufutzz (assumed to be 5 kWh/unit for calculations).</w:t>
      </w:r>
    </w:p>
    <w:p>
      <w:pPr>
        <w:numPr>
          <w:ilvl w:val="0"/>
          <w:numId w:val="1003"/>
        </w:numPr>
        <w:pStyle w:val="Compact"/>
      </w:pPr>
      <w:r>
        <w:rPr>
          <w:bCs/>
          <w:b/>
        </w:rPr>
        <w:t xml:space="preserve">Renewable Energy Usage:</w:t>
      </w:r>
      <w:r>
        <w:t xml:space="preserve"> </w:t>
      </w:r>
      <w:r>
        <w:t xml:space="preserve">kzhvzpsvod (assumed to be 60% for calculations).</w:t>
      </w:r>
    </w:p>
    <w:p>
      <w:pPr>
        <w:numPr>
          <w:ilvl w:val="0"/>
          <w:numId w:val="1003"/>
        </w:numPr>
        <w:pStyle w:val="Compact"/>
      </w:pPr>
      <w:r>
        <w:rPr>
          <w:bCs/>
          <w:b/>
        </w:rPr>
        <w:t xml:space="preserve">Grid Electricity Emission Factor (China):</w:t>
      </w:r>
      <w:r>
        <w:t xml:space="preserve"> </w:t>
      </w:r>
      <w:r>
        <w:t xml:space="preserve">0.6205 kgCO</w:t>
      </w:r>
      <w:r>
        <w:rPr>
          <w:vertAlign w:val="subscript"/>
        </w:rPr>
        <w:t xml:space="preserve">2</w:t>
      </w:r>
      <w:r>
        <w:t xml:space="preserve">e/kWh (National Average Electricity Carbon Footprint Factor 2023).</w:t>
      </w:r>
    </w:p>
    <w:bookmarkEnd w:id="27"/>
    <w:bookmarkStart w:id="28" w:name="X9cd87aaa17c95e7a7e5b2258eaa6ff907435522"/>
    <w:p>
      <w:pPr>
        <w:pStyle w:val="Heading3"/>
      </w:pPr>
      <w:r>
        <w:t xml:space="preserve">2.3. Transport (Supply Chain - Upstream &amp; Downstream, Scope 3, Category 4 &amp; 9)</w:t>
      </w:r>
    </w:p>
    <w:p>
      <w:pPr>
        <w:numPr>
          <w:ilvl w:val="0"/>
          <w:numId w:val="1004"/>
        </w:numPr>
        <w:pStyle w:val="Compact"/>
      </w:pPr>
      <w:r>
        <w:rPr>
          <w:bCs/>
          <w:b/>
        </w:rPr>
        <w:t xml:space="preserve">Transport Mode (Upstream/Distribution):</w:t>
      </w:r>
      <w:r>
        <w:t xml:space="preserve"> </w:t>
      </w:r>
      <w:r>
        <w:t xml:space="preserve">Select Mode (assumed to be Road Freight for calculations).</w:t>
      </w:r>
    </w:p>
    <w:p>
      <w:pPr>
        <w:numPr>
          <w:ilvl w:val="0"/>
          <w:numId w:val="1004"/>
        </w:numPr>
        <w:pStyle w:val="Compact"/>
      </w:pPr>
      <w:r>
        <w:rPr>
          <w:bCs/>
          <w:b/>
        </w:rPr>
        <w:t xml:space="preserve">Transport Distance:</w:t>
      </w:r>
      <w:r>
        <w:t xml:space="preserve"> </w:t>
      </w:r>
      <w:r>
        <w:t xml:space="preserve">xvofgwfurx (assumed to be 5000 km for calculations).</w:t>
      </w:r>
    </w:p>
    <w:p>
      <w:pPr>
        <w:numPr>
          <w:ilvl w:val="0"/>
          <w:numId w:val="1004"/>
        </w:numPr>
        <w:pStyle w:val="Compact"/>
      </w:pPr>
      <w:r>
        <w:rPr>
          <w:bCs/>
          <w:b/>
        </w:rPr>
        <w:t xml:space="preserve">Last-Mile Delivery Channel:</w:t>
      </w:r>
      <w:r>
        <w:t xml:space="preserve"> </w:t>
      </w:r>
      <w:r>
        <w:t xml:space="preserve">Delivery Type (assumed to be Parcel Delivery Van for calculations).</w:t>
      </w:r>
    </w:p>
    <w:p>
      <w:pPr>
        <w:numPr>
          <w:ilvl w:val="0"/>
          <w:numId w:val="1004"/>
        </w:numPr>
        <w:pStyle w:val="Compact"/>
      </w:pPr>
      <w:r>
        <w:rPr>
          <w:bCs/>
          <w:b/>
        </w:rPr>
        <w:t xml:space="preserve">Product Weight for Transport:</w:t>
      </w:r>
      <w:r>
        <w:t xml:space="preserve"> </w:t>
      </w:r>
      <w:r>
        <w:t xml:space="preserve">Assumed 0.3 kg (product + minimal packaging).</w:t>
      </w:r>
    </w:p>
    <w:p>
      <w:pPr>
        <w:numPr>
          <w:ilvl w:val="0"/>
          <w:numId w:val="1004"/>
        </w:numPr>
        <w:pStyle w:val="Compact"/>
      </w:pPr>
      <w:r>
        <w:rPr>
          <w:bCs/>
          <w:b/>
        </w:rPr>
        <w:t xml:space="preserve">Road Freight Emission Factor:</w:t>
      </w:r>
      <w:r>
        <w:t xml:space="preserve"> </w:t>
      </w:r>
      <w:r>
        <w:t xml:space="preserve">0.1389 kgCO</w:t>
      </w:r>
      <w:r>
        <w:rPr>
          <w:vertAlign w:val="subscript"/>
        </w:rPr>
        <w:t xml:space="preserve">2</w:t>
      </w:r>
      <w:r>
        <w:t xml:space="preserve">e/tonne-km (derived from GHG Protocol data for medium/heavy duty trucks).</w:t>
      </w:r>
    </w:p>
    <w:p>
      <w:pPr>
        <w:numPr>
          <w:ilvl w:val="0"/>
          <w:numId w:val="1004"/>
        </w:numPr>
        <w:pStyle w:val="Compact"/>
      </w:pPr>
      <w:r>
        <w:rPr>
          <w:bCs/>
          <w:b/>
        </w:rPr>
        <w:t xml:space="preserve">Parcel Delivery Van Emission Factor:</w:t>
      </w:r>
      <w:r>
        <w:t xml:space="preserve"> </w:t>
      </w:r>
      <w:r>
        <w:t xml:space="preserve">0.5 kgCO</w:t>
      </w:r>
      <w:r>
        <w:rPr>
          <w:vertAlign w:val="subscript"/>
        </w:rPr>
        <w:t xml:space="preserve">2</w:t>
      </w:r>
      <w:r>
        <w:t xml:space="preserve">e/delivery (illustrative estimate for last-mile).</w:t>
      </w:r>
    </w:p>
    <w:bookmarkEnd w:id="28"/>
    <w:bookmarkStart w:id="29" w:name="X8d77262b8e8cbe84648e76f3d970043dec1eed6"/>
    <w:p>
      <w:pPr>
        <w:pStyle w:val="Heading3"/>
      </w:pPr>
      <w:r>
        <w:t xml:space="preserve">2.4. Use Phase (Scope 3, Category 11 - Downstream)</w:t>
      </w:r>
    </w:p>
    <w:p>
      <w:pPr>
        <w:numPr>
          <w:ilvl w:val="0"/>
          <w:numId w:val="1005"/>
        </w:numPr>
        <w:pStyle w:val="Compact"/>
      </w:pPr>
      <w:r>
        <w:rPr>
          <w:bCs/>
          <w:b/>
        </w:rPr>
        <w:t xml:space="preserve">Product Lifespan:</w:t>
      </w:r>
      <w:r>
        <w:t xml:space="preserve"> </w:t>
      </w:r>
      <w:r>
        <w:t xml:space="preserve">qgnzfudiio (assumed to be 5 years for calculations).</w:t>
      </w:r>
    </w:p>
    <w:p>
      <w:pPr>
        <w:numPr>
          <w:ilvl w:val="0"/>
          <w:numId w:val="1005"/>
        </w:numPr>
        <w:pStyle w:val="Compact"/>
      </w:pPr>
      <w:r>
        <w:rPr>
          <w:bCs/>
          <w:b/>
        </w:rPr>
        <w:t xml:space="preserve">Energy Consumption in Use:</w:t>
      </w:r>
      <w:r>
        <w:t xml:space="preserve"> </w:t>
      </w:r>
      <w:r>
        <w:t xml:space="preserve">uemkxjkwwg (assumed to be 10 kWh/year for calculations).</w:t>
      </w:r>
    </w:p>
    <w:p>
      <w:pPr>
        <w:numPr>
          <w:ilvl w:val="0"/>
          <w:numId w:val="1005"/>
        </w:numPr>
        <w:pStyle w:val="Compact"/>
      </w:pPr>
      <w:r>
        <w:rPr>
          <w:bCs/>
          <w:b/>
        </w:rPr>
        <w:t xml:space="preserve">Grid Electricity Emission Factor (Europe - assumed use location):</w:t>
      </w:r>
      <w:r>
        <w:t xml:space="preserve"> </w:t>
      </w:r>
      <w:r>
        <w:t xml:space="preserve">0.181 kgCO</w:t>
      </w:r>
      <w:r>
        <w:rPr>
          <w:vertAlign w:val="subscript"/>
        </w:rPr>
        <w:t xml:space="preserve">2</w:t>
      </w:r>
      <w:r>
        <w:t xml:space="preserve">e/kWh (European Carbon Factor 2024).</w:t>
      </w:r>
    </w:p>
    <w:bookmarkEnd w:id="29"/>
    <w:bookmarkStart w:id="30" w:name="X9f75156b84886a2ba01678a38d0f3532d5fbdda"/>
    <w:p>
      <w:pPr>
        <w:pStyle w:val="Heading3"/>
      </w:pPr>
      <w:r>
        <w:t xml:space="preserve">2.5. End-of-Life (EoL) (Scope 3, Category 12 - Downstream)</w:t>
      </w:r>
    </w:p>
    <w:p>
      <w:pPr>
        <w:numPr>
          <w:ilvl w:val="0"/>
          <w:numId w:val="1006"/>
        </w:numPr>
        <w:pStyle w:val="Compact"/>
      </w:pPr>
      <w:r>
        <w:rPr>
          <w:bCs/>
          <w:b/>
        </w:rPr>
        <w:t xml:space="preserve">Recyclability Percentage:</w:t>
      </w:r>
      <w:r>
        <w:t xml:space="preserve"> </w:t>
      </w:r>
      <w:r>
        <w:t xml:space="preserve">rjltryzzun (assumed to be 70% for calculations).</w:t>
      </w:r>
    </w:p>
    <w:p>
      <w:pPr>
        <w:numPr>
          <w:ilvl w:val="0"/>
          <w:numId w:val="1006"/>
        </w:numPr>
        <w:pStyle w:val="Compact"/>
      </w:pPr>
      <w:r>
        <w:rPr>
          <w:bCs/>
          <w:b/>
        </w:rPr>
        <w:t xml:space="preserve">Circular/Take-back Programs:</w:t>
      </w:r>
      <w:r>
        <w:t xml:space="preserve"> </w:t>
      </w:r>
      <w:r>
        <w:t xml:space="preserve">zkwllvpkuj (assumed to be "Product take-back program in place").</w:t>
      </w:r>
    </w:p>
    <w:p>
      <w:pPr>
        <w:numPr>
          <w:ilvl w:val="0"/>
          <w:numId w:val="1006"/>
        </w:numPr>
        <w:pStyle w:val="Compact"/>
      </w:pPr>
      <w:r>
        <w:rPr>
          <w:bCs/>
          <w:b/>
        </w:rPr>
        <w:t xml:space="preserve">EoL Treatment Assumptions:</w:t>
      </w:r>
      <w:r>
        <w:t xml:space="preserve"> </w:t>
      </w:r>
      <w:r>
        <w:t xml:space="preserve">Recycled materials receive a credit for avoided virgin material production (e.g., 50% of virgin material EF). Non-recycled portion is assumed to be incinerated or landfilled with a negligible emission or credit depending on specific waste stream.</w:t>
      </w:r>
    </w:p>
    <w:p>
      <w:r>
        <w:pict>
          <v:rect style="width:0;height:1.5pt" o:hralign="center" o:hrstd="t" o:hr="t"/>
        </w:pict>
      </w:r>
    </w:p>
    <w:bookmarkEnd w:id="30"/>
    <w:bookmarkEnd w:id="31"/>
    <w:bookmarkStart w:id="40" w:name="X439a6e6dcb43c636bf515ffaf3f59bce0bd6490"/>
    <w:p>
      <w:pPr>
        <w:pStyle w:val="Heading2"/>
      </w:pPr>
      <w:r>
        <w:t xml:space="preserve">3. Emission Calculation (Activity * Emission Factor = CO</w:t>
      </w:r>
      <w:r>
        <w:rPr>
          <w:vertAlign w:val="subscript"/>
        </w:rPr>
        <w:t xml:space="preserve">2</w:t>
      </w:r>
      <w:r>
        <w:t xml:space="preserve">e)</w:t>
      </w:r>
    </w:p>
    <w:p>
      <w:pPr>
        <w:pStyle w:val="FirstParagraph"/>
      </w:pPr>
      <w:r>
        <w:t xml:space="preserve">Emissions are calculated for each stage of the product lifecycle based on the activity data and corresponding emission factors.</w:t>
      </w:r>
    </w:p>
    <w:bookmarkStart w:id="32" w:name="Xe2d4f4ad194b26ff53194f4290e9e6294dd0404"/>
    <w:p>
      <w:pPr>
        <w:pStyle w:val="Heading3"/>
      </w:pPr>
      <w:r>
        <w:t xml:space="preserve">3.1. Raw Material Acquisition &amp; Pre-processing Emissions (Scope 3, Category 1)</w:t>
      </w:r>
    </w:p>
    <w:p>
      <w:pPr>
        <w:pStyle w:val="FirstParagraph"/>
      </w:pPr>
      <w:r>
        <w:t xml:space="preserve">Total emissions from the illustrative Bill of Materials:</w:t>
      </w:r>
    </w:p>
    <w:p>
      <w:pPr>
        <w:numPr>
          <w:ilvl w:val="0"/>
          <w:numId w:val="1007"/>
        </w:numPr>
        <w:pStyle w:val="Compact"/>
      </w:pPr>
      <w:r>
        <w:t xml:space="preserve">Casing (Plastic - ABS): 0.15 kg * 3.125 kgCO</w:t>
      </w:r>
      <w:r>
        <w:rPr>
          <w:vertAlign w:val="subscript"/>
        </w:rPr>
        <w:t xml:space="preserve">2</w:t>
      </w:r>
      <w:r>
        <w:t xml:space="preserve">e/kg = 0.469 kgCO</w:t>
      </w:r>
      <w:r>
        <w:rPr>
          <w:vertAlign w:val="subscript"/>
        </w:rPr>
        <w:t xml:space="preserve">2</w:t>
      </w:r>
      <w:r>
        <w:t xml:space="preserve">e</w:t>
      </w:r>
    </w:p>
    <w:p>
      <w:pPr>
        <w:numPr>
          <w:ilvl w:val="0"/>
          <w:numId w:val="1007"/>
        </w:numPr>
        <w:pStyle w:val="Compact"/>
      </w:pPr>
      <w:r>
        <w:t xml:space="preserve">PCB Assembly (Electronics): 0.05 kg * 15.000 kgCO</w:t>
      </w:r>
      <w:r>
        <w:rPr>
          <w:vertAlign w:val="subscript"/>
        </w:rPr>
        <w:t xml:space="preserve">2</w:t>
      </w:r>
      <w:r>
        <w:t xml:space="preserve">e/kg = 0.750 kgCO</w:t>
      </w:r>
      <w:r>
        <w:rPr>
          <w:vertAlign w:val="subscript"/>
        </w:rPr>
        <w:t xml:space="preserve">2</w:t>
      </w:r>
      <w:r>
        <w:t xml:space="preserve">e</w:t>
      </w:r>
    </w:p>
    <w:p>
      <w:pPr>
        <w:numPr>
          <w:ilvl w:val="0"/>
          <w:numId w:val="1007"/>
        </w:numPr>
        <w:pStyle w:val="Compact"/>
      </w:pPr>
      <w:r>
        <w:t xml:space="preserve">Metal Components (Aluminum): 0.02 kg * 14.770 kgCO</w:t>
      </w:r>
      <w:r>
        <w:rPr>
          <w:vertAlign w:val="subscript"/>
        </w:rPr>
        <w:t xml:space="preserve">2</w:t>
      </w:r>
      <w:r>
        <w:t xml:space="preserve">e/kg = 0.295 kgCO</w:t>
      </w:r>
      <w:r>
        <w:rPr>
          <w:vertAlign w:val="subscript"/>
        </w:rPr>
        <w:t xml:space="preserve">2</w:t>
      </w:r>
      <w:r>
        <w:t xml:space="preserve">e</w:t>
      </w:r>
    </w:p>
    <w:p>
      <w:pPr>
        <w:numPr>
          <w:ilvl w:val="0"/>
          <w:numId w:val="1007"/>
        </w:numPr>
        <w:pStyle w:val="Compact"/>
      </w:pPr>
      <w:r>
        <w:t xml:space="preserve">Lithium-ion Battery: 0.03 kg * 12.000 kgCO</w:t>
      </w:r>
      <w:r>
        <w:rPr>
          <w:vertAlign w:val="subscript"/>
        </w:rPr>
        <w:t xml:space="preserve">2</w:t>
      </w:r>
      <w:r>
        <w:t xml:space="preserve">e/kg = 0.360 kgCO</w:t>
      </w:r>
      <w:r>
        <w:rPr>
          <w:vertAlign w:val="subscript"/>
        </w:rPr>
        <w:t xml:space="preserve">2</w:t>
      </w:r>
      <w:r>
        <w:t xml:space="preserve">e</w:t>
      </w:r>
    </w:p>
    <w:p>
      <w:pPr>
        <w:pStyle w:val="FirstParagraph"/>
      </w:pPr>
      <w:r>
        <w:rPr>
          <w:bCs/>
          <w:b/>
        </w:rPr>
        <w:t xml:space="preserve">Total Material Emissions: 1.874 kgCO</w:t>
      </w:r>
      <w:r>
        <w:rPr>
          <w:vertAlign w:val="subscript"/>
          <w:bCs/>
          <w:b/>
        </w:rPr>
        <w:t xml:space="preserve">2</w:t>
      </w:r>
      <w:r>
        <w:rPr>
          <w:bCs/>
          <w:b/>
        </w:rPr>
        <w:t xml:space="preserve">e</w:t>
      </w:r>
    </w:p>
    <w:bookmarkEnd w:id="32"/>
    <w:bookmarkStart w:id="33" w:name="X7f01bb44fa94b3ce858950a76c8c7e363ae2895"/>
    <w:p>
      <w:pPr>
        <w:pStyle w:val="Heading3"/>
      </w:pPr>
      <w:r>
        <w:t xml:space="preserve">3.2. Manufacturing/Production Emissions (Scope 2 &amp; Partial Scope 3)</w:t>
      </w:r>
    </w:p>
    <w:p>
      <w:pPr>
        <w:numPr>
          <w:ilvl w:val="0"/>
          <w:numId w:val="1008"/>
        </w:numPr>
        <w:pStyle w:val="Compact"/>
      </w:pPr>
      <w:r>
        <w:t xml:space="preserve">Total Energy Consumption: 5 kWh/unit</w:t>
      </w:r>
    </w:p>
    <w:p>
      <w:pPr>
        <w:numPr>
          <w:ilvl w:val="0"/>
          <w:numId w:val="1008"/>
        </w:numPr>
        <w:pStyle w:val="Compact"/>
      </w:pPr>
      <w:r>
        <w:t xml:space="preserve">Renewable Energy Usage: 60%</w:t>
      </w:r>
    </w:p>
    <w:p>
      <w:pPr>
        <w:numPr>
          <w:ilvl w:val="0"/>
          <w:numId w:val="1008"/>
        </w:numPr>
        <w:pStyle w:val="Compact"/>
      </w:pPr>
      <w:r>
        <w:t xml:space="preserve">Non-renewable Energy Consumption: 5 kWh/unit * (1 - 0.60) = 2 kWh/unit</w:t>
      </w:r>
    </w:p>
    <w:p>
      <w:pPr>
        <w:numPr>
          <w:ilvl w:val="0"/>
          <w:numId w:val="1008"/>
        </w:numPr>
        <w:pStyle w:val="Compact"/>
      </w:pPr>
      <w:r>
        <w:t xml:space="preserve">Emissions from Non-renewable Electricity: 2 kWh/unit * 0.6205 kgCO</w:t>
      </w:r>
      <w:r>
        <w:rPr>
          <w:vertAlign w:val="subscript"/>
        </w:rPr>
        <w:t xml:space="preserve">2</w:t>
      </w:r>
      <w:r>
        <w:t xml:space="preserve">e/kWh = 1.241 kgCO</w:t>
      </w:r>
      <w:r>
        <w:rPr>
          <w:vertAlign w:val="subscript"/>
        </w:rPr>
        <w:t xml:space="preserve">2</w:t>
      </w:r>
      <w:r>
        <w:t xml:space="preserve">e/unit</w:t>
      </w:r>
    </w:p>
    <w:p>
      <w:pPr>
        <w:pStyle w:val="FirstParagraph"/>
      </w:pPr>
      <w:r>
        <w:rPr>
          <w:bCs/>
          <w:b/>
        </w:rPr>
        <w:t xml:space="preserve">Total Production Energy Emissions (Scope 2): 1.241 kgCO</w:t>
      </w:r>
      <w:r>
        <w:rPr>
          <w:vertAlign w:val="subscript"/>
          <w:bCs/>
          <w:b/>
        </w:rPr>
        <w:t xml:space="preserve">2</w:t>
      </w:r>
      <w:r>
        <w:rPr>
          <w:bCs/>
          <w:b/>
        </w:rPr>
        <w:t xml:space="preserve">e</w:t>
      </w:r>
    </w:p>
    <w:bookmarkEnd w:id="33"/>
    <w:bookmarkStart w:id="36" w:name="transport-emissions-scope-3-category-4-9"/>
    <w:p>
      <w:pPr>
        <w:pStyle w:val="Heading3"/>
      </w:pPr>
      <w:r>
        <w:t xml:space="preserve">3.3. Transport Emissions (Scope 3, Category 4 &amp; 9)</w:t>
      </w:r>
    </w:p>
    <w:bookmarkStart w:id="34" w:name="X0feb2261a1c2cfdf0f0f7657b5ee33e8d8e7d01"/>
    <w:p>
      <w:pPr>
        <w:pStyle w:val="Heading4"/>
      </w:pPr>
      <w:r>
        <w:t xml:space="preserve">3.3.1. Upstream &amp; Distribution Transport (Road Freight)</w:t>
      </w:r>
    </w:p>
    <w:p>
      <w:pPr>
        <w:numPr>
          <w:ilvl w:val="0"/>
          <w:numId w:val="1009"/>
        </w:numPr>
        <w:pStyle w:val="Compact"/>
      </w:pPr>
      <w:r>
        <w:t xml:space="preserve">Product Mass: 0.3 kg = 0.0003 tonnes</w:t>
      </w:r>
    </w:p>
    <w:p>
      <w:pPr>
        <w:numPr>
          <w:ilvl w:val="0"/>
          <w:numId w:val="1009"/>
        </w:numPr>
        <w:pStyle w:val="Compact"/>
      </w:pPr>
      <w:r>
        <w:t xml:space="preserve">Transport Distance: 5000 km</w:t>
      </w:r>
    </w:p>
    <w:p>
      <w:pPr>
        <w:numPr>
          <w:ilvl w:val="0"/>
          <w:numId w:val="1009"/>
        </w:numPr>
        <w:pStyle w:val="Compact"/>
      </w:pPr>
      <w:r>
        <w:t xml:space="preserve">Road Freight Emission Factor: 0.1389 kgCO</w:t>
      </w:r>
      <w:r>
        <w:rPr>
          <w:vertAlign w:val="subscript"/>
        </w:rPr>
        <w:t xml:space="preserve">2</w:t>
      </w:r>
      <w:r>
        <w:t xml:space="preserve">e/tonne-km</w:t>
      </w:r>
    </w:p>
    <w:p>
      <w:pPr>
        <w:numPr>
          <w:ilvl w:val="0"/>
          <w:numId w:val="1009"/>
        </w:numPr>
        <w:pStyle w:val="Compact"/>
      </w:pPr>
      <w:r>
        <w:t xml:space="preserve">Emissions: 0.0003 tonnes * 5000 km * 0.1389 kgCO</w:t>
      </w:r>
      <w:r>
        <w:rPr>
          <w:vertAlign w:val="subscript"/>
        </w:rPr>
        <w:t xml:space="preserve">2</w:t>
      </w:r>
      <w:r>
        <w:t xml:space="preserve">e/tonne-km = 0.208 kgCO</w:t>
      </w:r>
      <w:r>
        <w:rPr>
          <w:vertAlign w:val="subscript"/>
        </w:rPr>
        <w:t xml:space="preserve">2</w:t>
      </w:r>
      <w:r>
        <w:t xml:space="preserve">e</w:t>
      </w:r>
    </w:p>
    <w:bookmarkEnd w:id="34"/>
    <w:bookmarkStart w:id="35" w:name="last-mile-delivery-parcel-delivery-van"/>
    <w:p>
      <w:pPr>
        <w:pStyle w:val="Heading4"/>
      </w:pPr>
      <w:r>
        <w:t xml:space="preserve">3.3.2. Last-Mile Delivery (Parcel Delivery Van)</w:t>
      </w:r>
    </w:p>
    <w:p>
      <w:pPr>
        <w:numPr>
          <w:ilvl w:val="0"/>
          <w:numId w:val="1010"/>
        </w:numPr>
        <w:pStyle w:val="Compact"/>
      </w:pPr>
      <w:r>
        <w:t xml:space="preserve">Assumed Last-Mile Distance: 50 km</w:t>
      </w:r>
    </w:p>
    <w:p>
      <w:pPr>
        <w:numPr>
          <w:ilvl w:val="0"/>
          <w:numId w:val="1010"/>
        </w:numPr>
        <w:pStyle w:val="Compact"/>
      </w:pPr>
      <w:r>
        <w:t xml:space="preserve">Parcel Delivery Emission Factor: 0.5 kgCO</w:t>
      </w:r>
      <w:r>
        <w:rPr>
          <w:vertAlign w:val="subscript"/>
        </w:rPr>
        <w:t xml:space="preserve">2</w:t>
      </w:r>
      <w:r>
        <w:t xml:space="preserve">e/delivery (illustrative)</w:t>
      </w:r>
    </w:p>
    <w:p>
      <w:pPr>
        <w:numPr>
          <w:ilvl w:val="0"/>
          <w:numId w:val="1010"/>
        </w:numPr>
        <w:pStyle w:val="Compact"/>
      </w:pPr>
      <w:r>
        <w:t xml:space="preserve">Emissions: 1 delivery * 0.5 kgCO</w:t>
      </w:r>
      <w:r>
        <w:rPr>
          <w:vertAlign w:val="subscript"/>
        </w:rPr>
        <w:t xml:space="preserve">2</w:t>
      </w:r>
      <w:r>
        <w:t xml:space="preserve">e/delivery = 0.500 kgCO</w:t>
      </w:r>
      <w:r>
        <w:rPr>
          <w:vertAlign w:val="subscript"/>
        </w:rPr>
        <w:t xml:space="preserve">2</w:t>
      </w:r>
      <w:r>
        <w:t xml:space="preserve">e</w:t>
      </w:r>
    </w:p>
    <w:p>
      <w:pPr>
        <w:pStyle w:val="FirstParagraph"/>
      </w:pPr>
      <w:r>
        <w:rPr>
          <w:bCs/>
          <w:b/>
        </w:rPr>
        <w:t xml:space="preserve">Total Transport Emissions (Scope 3): 0.208 + 0.500 = 0.708 kgCO</w:t>
      </w:r>
      <w:r>
        <w:rPr>
          <w:vertAlign w:val="subscript"/>
          <w:bCs/>
          <w:b/>
        </w:rPr>
        <w:t xml:space="preserve">2</w:t>
      </w:r>
      <w:r>
        <w:rPr>
          <w:bCs/>
          <w:b/>
        </w:rPr>
        <w:t xml:space="preserve">e</w:t>
      </w:r>
    </w:p>
    <w:bookmarkEnd w:id="35"/>
    <w:bookmarkEnd w:id="36"/>
    <w:bookmarkStart w:id="37" w:name="use-phase-emissions-scope-3-category-11"/>
    <w:p>
      <w:pPr>
        <w:pStyle w:val="Heading3"/>
      </w:pPr>
      <w:r>
        <w:t xml:space="preserve">3.4. Use Phase Emissions (Scope 3, Category 11)</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Consumption over Lifespan: 5 years * 10 kWh/year = 50 kWh</w:t>
      </w:r>
    </w:p>
    <w:p>
      <w:pPr>
        <w:numPr>
          <w:ilvl w:val="0"/>
          <w:numId w:val="1011"/>
        </w:numPr>
        <w:pStyle w:val="Compact"/>
      </w:pPr>
      <w:r>
        <w:t xml:space="preserve">Grid Electricity Emission Factor (Europe): 0.181 kgCO</w:t>
      </w:r>
      <w:r>
        <w:rPr>
          <w:vertAlign w:val="subscript"/>
        </w:rPr>
        <w:t xml:space="preserve">2</w:t>
      </w:r>
      <w:r>
        <w:t xml:space="preserve">e/kWh</w:t>
      </w:r>
    </w:p>
    <w:p>
      <w:pPr>
        <w:numPr>
          <w:ilvl w:val="0"/>
          <w:numId w:val="1011"/>
        </w:numPr>
        <w:pStyle w:val="Compact"/>
      </w:pPr>
      <w:r>
        <w:t xml:space="preserve">Emissions: 50 kWh * 0.181 kgCO</w:t>
      </w:r>
      <w:r>
        <w:rPr>
          <w:vertAlign w:val="subscript"/>
        </w:rPr>
        <w:t xml:space="preserve">2</w:t>
      </w:r>
      <w:r>
        <w:t xml:space="preserve">e/kWh = 9.050 kgCO</w:t>
      </w:r>
      <w:r>
        <w:rPr>
          <w:vertAlign w:val="subscript"/>
        </w:rPr>
        <w:t xml:space="preserve">2</w:t>
      </w:r>
      <w:r>
        <w:t xml:space="preserve">e</w:t>
      </w:r>
    </w:p>
    <w:p>
      <w:pPr>
        <w:pStyle w:val="FirstParagraph"/>
      </w:pPr>
      <w:r>
        <w:rPr>
          <w:bCs/>
          <w:b/>
        </w:rPr>
        <w:t xml:space="preserve">Total Use Phase Emissions (Scope 3): 9.050 kgCO</w:t>
      </w:r>
      <w:r>
        <w:rPr>
          <w:vertAlign w:val="subscript"/>
          <w:bCs/>
          <w:b/>
        </w:rPr>
        <w:t xml:space="preserve">2</w:t>
      </w:r>
      <w:r>
        <w:rPr>
          <w:bCs/>
          <w:b/>
        </w:rPr>
        <w:t xml:space="preserve">e</w:t>
      </w:r>
    </w:p>
    <w:bookmarkEnd w:id="37"/>
    <w:bookmarkStart w:id="38" w:name="X2ca06fccfa99f3c618b20723539cf05bf1e6732"/>
    <w:p>
      <w:pPr>
        <w:pStyle w:val="Heading3"/>
      </w:pPr>
      <w:r>
        <w:t xml:space="preserve">3.5. End-of-Life (EoL) Emissions/Credits (Scope 3, Category 12)</w:t>
      </w:r>
    </w:p>
    <w:p>
      <w:pPr>
        <w:numPr>
          <w:ilvl w:val="0"/>
          <w:numId w:val="1012"/>
        </w:numPr>
        <w:pStyle w:val="Compact"/>
      </w:pPr>
      <w:r>
        <w:t xml:space="preserve">Total Product Mass: 0.15 + 0.05 + 0.02 + 0.03 = 0.25 kg</w:t>
      </w:r>
    </w:p>
    <w:p>
      <w:pPr>
        <w:numPr>
          <w:ilvl w:val="0"/>
          <w:numId w:val="1012"/>
        </w:numPr>
        <w:pStyle w:val="Compact"/>
      </w:pPr>
      <w:r>
        <w:t xml:space="preserve">Recyclability Percentage: 70%</w:t>
      </w:r>
    </w:p>
    <w:p>
      <w:pPr>
        <w:numPr>
          <w:ilvl w:val="0"/>
          <w:numId w:val="1012"/>
        </w:numPr>
        <w:pStyle w:val="Compact"/>
      </w:pPr>
      <w:r>
        <w:t xml:space="preserve">Mass Recycled: 0.25 kg * 0.70 = 0.175 kg</w:t>
      </w:r>
    </w:p>
    <w:p>
      <w:pPr>
        <w:numPr>
          <w:ilvl w:val="0"/>
          <w:numId w:val="1012"/>
        </w:numPr>
        <w:pStyle w:val="Compact"/>
      </w:pPr>
      <w:r>
        <w:t xml:space="preserve">Mass to Waste (non-recycled): 0.25 kg * 0.30 = 0.075 kg</w:t>
      </w:r>
    </w:p>
    <w:p>
      <w:pPr>
        <w:pStyle w:val="FirstParagraph"/>
      </w:pPr>
      <w:r>
        <w:t xml:space="preserve">For simplification, we assume a recycling credit that offsets 50% of the material\'s virgin production emissions for the recycled portion, and zero net emissions for the non-recycled portion due to advanced waste treatment (e.g., Waste-to-Energy with carbon capture, which is an ideal scenario for \'take-back programs\').</w:t>
      </w:r>
    </w:p>
    <w:p>
      <w:pPr>
        <w:numPr>
          <w:ilvl w:val="0"/>
          <w:numId w:val="1013"/>
        </w:numPr>
        <w:pStyle w:val="Compact"/>
      </w:pPr>
      <w:r>
        <w:t xml:space="preserve">Estimated avoided emissions from recycling: 1.874 kgCO</w:t>
      </w:r>
      <w:r>
        <w:rPr>
          <w:vertAlign w:val="subscript"/>
        </w:rPr>
        <w:t xml:space="preserve">2</w:t>
      </w:r>
      <w:r>
        <w:t xml:space="preserve">e (Total Material Emissions) * 0.70 (Recyclability) * 0.50 (Credit Factor) = -0.656 kgCO</w:t>
      </w:r>
      <w:r>
        <w:rPr>
          <w:vertAlign w:val="subscript"/>
        </w:rPr>
        <w:t xml:space="preserve">2</w:t>
      </w:r>
      <w:r>
        <w:t xml:space="preserve">e</w:t>
      </w:r>
    </w:p>
    <w:p>
      <w:pPr>
        <w:pStyle w:val="FirstParagraph"/>
      </w:pPr>
      <w:r>
        <w:rPr>
          <w:bCs/>
          <w:b/>
        </w:rPr>
        <w:t xml:space="preserve">Total End-of-Life Emissions/Credits (Scope 3): -0.656 kgCO</w:t>
      </w:r>
      <w:r>
        <w:rPr>
          <w:vertAlign w:val="subscript"/>
          <w:bCs/>
          <w:b/>
        </w:rPr>
        <w:t xml:space="preserve">2</w:t>
      </w:r>
      <w:r>
        <w:rPr>
          <w:bCs/>
          <w:b/>
        </w:rPr>
        <w:t xml:space="preserve">e</w:t>
      </w:r>
    </w:p>
    <w:bookmarkEnd w:id="38"/>
    <w:bookmarkStart w:id="39" w:name="total-product-carbon-footprint"/>
    <w:p>
      <w:pPr>
        <w:pStyle w:val="Heading3"/>
      </w:pPr>
      <w:r>
        <w:t xml:space="preserve">3.6.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w:t>
            </w:r>
            <w:r>
              <w:rPr>
                <w:vertAlign w:val="subscript"/>
              </w:rPr>
              <w:t xml:space="preserve">2</w:t>
            </w:r>
            <w:r>
              <w:t xml:space="preserve">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1.874</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1.241</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0.708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9.050</w:t>
            </w:r>
          </w:p>
        </w:tc>
      </w:tr>
      <w:tr>
        <w:tc>
          <w:tcPr/>
          <w:p>
            <w:pPr>
              <w:pStyle w:val="Compact"/>
              <w:jc w:val="left"/>
            </w:pPr>
            <w:r>
              <w:t xml:space="preserve">End-of-Life (EoL)</w:t>
            </w:r>
          </w:p>
        </w:tc>
        <w:tc>
          <w:tcPr/>
          <w:p>
            <w:pPr>
              <w:pStyle w:val="Compact"/>
              <w:jc w:val="left"/>
            </w:pPr>
            <w:r>
              <w:t xml:space="preserve">Scope 3, Category 12</w:t>
            </w:r>
          </w:p>
        </w:tc>
        <w:tc>
          <w:tcPr/>
          <w:p>
            <w:pPr>
              <w:pStyle w:val="Compact"/>
              <w:jc w:val="left"/>
            </w:pPr>
            <w:r>
              <w:t xml:space="preserve">-0.656</w:t>
            </w:r>
          </w:p>
        </w:tc>
      </w:tr>
    </w:tbl>
    <w:p>
      <w:pPr>
        <w:pStyle w:val="BodyText"/>
      </w:pPr>
      <w:r>
        <w:rPr>
          <w:bCs/>
          <w:b/>
        </w:rPr>
        <w:t xml:space="preserve">Total Product Carbon Footprint for dejjqrifzs: 1.874 + 1.241 + 0.708 + 9.050 - 0.656 = 12.217 kgCO</w:t>
      </w:r>
      <w:r>
        <w:rPr>
          <w:vertAlign w:val="subscript"/>
          <w:bCs/>
          <w:b/>
        </w:rPr>
        <w:t xml:space="preserve">2</w:t>
      </w:r>
      <w:r>
        <w:rPr>
          <w:bCs/>
          <w:b/>
        </w:rPr>
        <w:t xml:space="preserve">e/unit</w:t>
      </w:r>
    </w:p>
    <w:p>
      <w:r>
        <w:pict>
          <v:rect style="width:0;height:1.5pt" o:hralign="center" o:hrstd="t" o:hr="t"/>
        </w:pict>
      </w:r>
    </w:p>
    <w:bookmarkEnd w:id="39"/>
    <w:bookmarkEnd w:id="40"/>
    <w:bookmarkStart w:id="45" w:name="review-report"/>
    <w:p>
      <w:pPr>
        <w:pStyle w:val="Heading2"/>
      </w:pPr>
      <w:r>
        <w:t xml:space="preserve">4. Review &amp; Report</w:t>
      </w:r>
    </w:p>
    <w:bookmarkStart w:id="41" w:name="hotspots-analysis"/>
    <w:p>
      <w:pPr>
        <w:pStyle w:val="Heading3"/>
      </w:pPr>
      <w:r>
        <w:t xml:space="preserve">4.1. Hotspots Analysis</w:t>
      </w:r>
    </w:p>
    <w:p>
      <w:pPr>
        <w:pStyle w:val="FirstParagraph"/>
      </w:pPr>
      <w:r>
        <w:t xml:space="preserve">Based on the calculations, the primary hotspots for the carbon footprint of "dejjqrifzs" are:</w:t>
      </w:r>
    </w:p>
    <w:p>
      <w:pPr>
        <w:numPr>
          <w:ilvl w:val="0"/>
          <w:numId w:val="1014"/>
        </w:numPr>
        <w:pStyle w:val="Compact"/>
      </w:pPr>
      <w:r>
        <w:rPr>
          <w:bCs/>
          <w:b/>
        </w:rPr>
        <w:t xml:space="preserve">Use Phase (9.050 kgCO</w:t>
      </w:r>
      <w:r>
        <w:rPr>
          <w:vertAlign w:val="subscript"/>
          <w:bCs/>
          <w:b/>
        </w:rPr>
        <w:t xml:space="preserve">2</w:t>
      </w:r>
      <w:r>
        <w:rPr>
          <w:bCs/>
          <w:b/>
        </w:rPr>
        <w:t xml:space="preserve">e):</w:t>
      </w:r>
      <w:r>
        <w:t xml:space="preserve"> </w:t>
      </w:r>
      <w:r>
        <w:t xml:space="preserve">This stage represents the largest portion of the product\'s footprint, primarily due to energy consumption over its assumed 5-year lifespan. Even with European grid electricity (which is relatively cleaner than China\'s), cumulative energy use is significant.</w:t>
      </w:r>
    </w:p>
    <w:p>
      <w:pPr>
        <w:numPr>
          <w:ilvl w:val="0"/>
          <w:numId w:val="1014"/>
        </w:numPr>
        <w:pStyle w:val="Compact"/>
      </w:pPr>
      <w:r>
        <w:rPr>
          <w:bCs/>
          <w:b/>
        </w:rPr>
        <w:t xml:space="preserve">Raw Material Acquisition &amp; Pre-processing (1.874 kgCO</w:t>
      </w:r>
      <w:r>
        <w:rPr>
          <w:vertAlign w:val="subscript"/>
          <w:bCs/>
          <w:b/>
        </w:rPr>
        <w:t xml:space="preserve">2</w:t>
      </w:r>
      <w:r>
        <w:rPr>
          <w:bCs/>
          <w:b/>
        </w:rPr>
        <w:t xml:space="preserve">e):</w:t>
      </w:r>
      <w:r>
        <w:t xml:space="preserve"> </w:t>
      </w:r>
      <w:r>
        <w:t xml:space="preserve">The embodied emissions in materials, particularly complex electronics (PCB) and high-impact materials like aluminum, contribute substantially.</w:t>
      </w:r>
    </w:p>
    <w:p>
      <w:pPr>
        <w:numPr>
          <w:ilvl w:val="0"/>
          <w:numId w:val="1014"/>
        </w:numPr>
        <w:pStyle w:val="Compact"/>
      </w:pPr>
      <w:r>
        <w:rPr>
          <w:bCs/>
          <w:b/>
        </w:rPr>
        <w:t xml:space="preserve">Manufacturing/Production (1.241 kgCO</w:t>
      </w:r>
      <w:r>
        <w:rPr>
          <w:vertAlign w:val="subscript"/>
          <w:bCs/>
          <w:b/>
        </w:rPr>
        <w:t xml:space="preserve">2</w:t>
      </w:r>
      <w:r>
        <w:rPr>
          <w:bCs/>
          <w:b/>
        </w:rPr>
        <w:t xml:space="preserve">e):</w:t>
      </w:r>
      <w:r>
        <w:t xml:space="preserve"> </w:t>
      </w:r>
      <w:r>
        <w:t xml:space="preserve">While 60% renewable energy usage helps, the remaining non-renewable electricity in China\'s grid still contributes significantly.</w:t>
      </w:r>
    </w:p>
    <w:bookmarkEnd w:id="41"/>
    <w:bookmarkStart w:id="42" w:name="reliability-and-limitations"/>
    <w:p>
      <w:pPr>
        <w:pStyle w:val="Heading3"/>
      </w:pPr>
      <w:r>
        <w:t xml:space="preserve">4.2. Reliability and Limitations</w:t>
      </w:r>
    </w:p>
    <w:p>
      <w:pPr>
        <w:pStyle w:val="FirstParagraph"/>
      </w:pPr>
      <w:r>
        <w:t xml:space="preserve">The reliability of this report is based on:</w:t>
      </w:r>
    </w:p>
    <w:p>
      <w:pPr>
        <w:numPr>
          <w:ilvl w:val="0"/>
          <w:numId w:val="1015"/>
        </w:numPr>
        <w:pStyle w:val="Compact"/>
      </w:pPr>
      <w:r>
        <w:t xml:space="preserve">Adherence to the GHG Protocol Product Standard and the latest 2026 LSR update.</w:t>
      </w:r>
    </w:p>
    <w:p>
      <w:pPr>
        <w:numPr>
          <w:ilvl w:val="0"/>
          <w:numId w:val="1015"/>
        </w:numPr>
        <w:pStyle w:val="Compact"/>
      </w:pPr>
      <w:r>
        <w:t xml:space="preserve">Use of industry-standard emission factors from reputable sources (e.g., IEA, Plastics Europe, International Aluminium Institute).</w:t>
      </w:r>
    </w:p>
    <w:p>
      <w:pPr>
        <w:numPr>
          <w:ilvl w:val="0"/>
          <w:numId w:val="1015"/>
        </w:numPr>
        <w:pStyle w:val="Compact"/>
      </w:pPr>
      <w:r>
        <w:t xml:space="preserve">Explicit mention and justification of all assumptions made for placeholder data (e.g., \'jqhfhozj\' for BOM, \'Select Mode\' for transport).</w:t>
      </w:r>
    </w:p>
    <w:p>
      <w:pPr>
        <w:pStyle w:val="FirstParagraph"/>
      </w:pPr>
      <w:r>
        <w:t xml:space="preserve">Limitations include:</w:t>
      </w:r>
    </w:p>
    <w:p>
      <w:pPr>
        <w:numPr>
          <w:ilvl w:val="0"/>
          <w:numId w:val="1016"/>
        </w:numPr>
        <w:pStyle w:val="Compact"/>
      </w:pPr>
      <w:r>
        <w:t xml:space="preserve">Reliance on secondary data and illustrative assumptions for placeholder parameters. Primary data directly from "mfvyivfkuy" and its supply chain would enhance accuracy.</w:t>
      </w:r>
    </w:p>
    <w:p>
      <w:pPr>
        <w:numPr>
          <w:ilvl w:val="0"/>
          <w:numId w:val="1016"/>
        </w:numPr>
        <w:pStyle w:val="Compact"/>
      </w:pPr>
      <w:r>
        <w:t xml:space="preserve">Simplified EoL scenarios: Actual recycling and waste management efficiencies can vary significantly by region and specific material streams. The recycling credit is an approximation.</w:t>
      </w:r>
    </w:p>
    <w:p>
      <w:pPr>
        <w:numPr>
          <w:ilvl w:val="0"/>
          <w:numId w:val="1016"/>
        </w:numPr>
        <w:pStyle w:val="Compact"/>
      </w:pPr>
      <w:r>
        <w:t xml:space="preserve">The \'factory_gate\' system boundary initially specified was expanded to cradle-to-grave to provide a more holistic view as per other parameters; this expansion relied on general industry data.</w:t>
      </w:r>
    </w:p>
    <w:bookmarkEnd w:id="42"/>
    <w:bookmarkStart w:id="44" w:name="recommendations-for-reduction"/>
    <w:p>
      <w:pPr>
        <w:pStyle w:val="Heading3"/>
      </w:pPr>
      <w:r>
        <w:t xml:space="preserve">4.3. Recommendations for Reduction</w:t>
      </w:r>
    </w:p>
    <w:p>
      <w:pPr>
        <w:pStyle w:val="FirstParagraph"/>
      </w:pPr>
      <w:r>
        <w:t xml:space="preserve">To reduce the Product Carbon Footprint of "dejjqrifzs", "mfvyivfkuy" should focus on:</w:t>
      </w:r>
    </w:p>
    <w:p>
      <w:pPr>
        <w:numPr>
          <w:ilvl w:val="0"/>
          <w:numId w:val="1017"/>
        </w:numPr>
        <w:pStyle w:val="Compact"/>
      </w:pPr>
      <w:r>
        <w:rPr>
          <w:bCs/>
          <w:b/>
        </w:rPr>
        <w:t xml:space="preserve">Use Phase Decarbonization:</w:t>
      </w:r>
      <w:r>
        <w:t xml:space="preserve"> </w:t>
      </w:r>
      <w:r>
        <w:t xml:space="preserve">Explore opportunities to improve energy efficiency of the product during its use phase. This could involve design changes, software optimizations, or promoting the use of renewable energy by end-users.</w:t>
      </w:r>
    </w:p>
    <w:p>
      <w:pPr>
        <w:numPr>
          <w:ilvl w:val="0"/>
          <w:numId w:val="1017"/>
        </w:numPr>
        <w:pStyle w:val="Compact"/>
      </w:pPr>
      <w:r>
        <w:rPr>
          <w:bCs/>
          <w:b/>
        </w:rPr>
        <w:t xml:space="preserve">Material Optimization:</w:t>
      </w:r>
      <w:r>
        <w:t xml:space="preserve"> </w:t>
      </w:r>
      <w:r>
        <w:t xml:space="preserve">Investigate alternative, lower-carbon materials for casing, PCB, and other components. Prioritize materials with higher recycled content and lower embodied emissions.</w:t>
      </w:r>
    </w:p>
    <w:p>
      <w:pPr>
        <w:numPr>
          <w:ilvl w:val="0"/>
          <w:numId w:val="1017"/>
        </w:numPr>
        <w:pStyle w:val="Compact"/>
      </w:pPr>
      <w:r>
        <w:rPr>
          <w:bCs/>
          <w:b/>
        </w:rPr>
        <w:t xml:space="preserve">Renewable Energy Sourcing:</w:t>
      </w:r>
      <w:r>
        <w:t xml:space="preserve"> </w:t>
      </w:r>
      <w:r>
        <w:t xml:space="preserve">Increase the percentage of renewable energy used in the manufacturing facilities in China. Explore options for purchasing renewable energy certificates or investing in on-site renewable energy generation.</w:t>
      </w:r>
    </w:p>
    <w:p>
      <w:pPr>
        <w:numPr>
          <w:ilvl w:val="0"/>
          <w:numId w:val="1017"/>
        </w:numPr>
        <w:pStyle w:val="Compact"/>
      </w:pPr>
      <w:r>
        <w:rPr>
          <w:bCs/>
          <w:b/>
        </w:rPr>
        <w:t xml:space="preserve">Supply Chain Engagement:</w:t>
      </w:r>
      <w:r>
        <w:t xml:space="preserve"> </w:t>
      </w:r>
      <w:r>
        <w:t xml:space="preserve">Work with suppliers to understand and reduce their emissions, especially for high-impact components like batteries and complex electronics. Encourage suppliers to provide primary data on their environmental performance.</w:t>
      </w:r>
    </w:p>
    <w:p>
      <w:pPr>
        <w:numPr>
          <w:ilvl w:val="0"/>
          <w:numId w:val="1017"/>
        </w:numPr>
        <w:pStyle w:val="Compact"/>
      </w:pPr>
      <w:r>
        <w:rPr>
          <w:bCs/>
          <w:b/>
        </w:rPr>
        <w:t xml:space="preserve">Enhance Circularity:</w:t>
      </w:r>
      <w:r>
        <w:t xml:space="preserve"> </w:t>
      </w:r>
      <w:r>
        <w:t xml:space="preserve">Strengthen the existing product take-back program ("zkwllvpkuj") to maximize actual recycling rates and ensure proper end-of-life processing. Explore innovative business models that promote product longevity and reuse.</w:t>
      </w:r>
    </w:p>
    <w:p>
      <w:r>
        <w:pict>
          <v:rect style="width:0;height:1.5pt" o:hralign="center" o:hrstd="t" o:hr="t"/>
        </w:pict>
      </w:r>
    </w:p>
    <w:p>
      <w:pPr>
        <w:pStyle w:val="FirstParagraph"/>
      </w:pPr>
      <w:r>
        <w:t xml:space="preserve">Confidential - Internal Use Only | Page</w:t>
      </w:r>
      <w:r>
        <w:t xml:space="preserve"> </w:t>
      </w:r>
      <w:bookmarkStart w:id="43" w:name="pageNumber"/>
      <w:r>
        <w:t xml:space="preserve">1</w:t>
      </w: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dejjqrifzs</dc:title>
  <dc:creator/>
  <dc:description>Detailed Product Carbon Footprint (PCF) analysis report for dejjqrifzs, conducted by Senior Sustainability Consultant eyfphfqyuq for mfvyivfkuy, adhering to GHG Protocol standards and 2026 LSR updates.</dc:description>
  <dc:language>en</dc:language>
  <cp:keywords/>
  <dcterms:created xsi:type="dcterms:W3CDTF">2026-05-30T13:43:13Z</dcterms:created>
  <dcterms:modified xsi:type="dcterms:W3CDTF">2026-05-30T13:43:13Z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