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ddsgkqnrwv</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ddsgkqnrwv</w:t>
      </w:r>
    </w:p>
    <w:p>
      <w:pPr>
        <w:pStyle w:val="BodyText"/>
      </w:pPr>
      <w:r>
        <w:t xml:space="preserve">Company Name: vzdlkmrfhd</w:t>
      </w:r>
    </w:p>
    <w:p>
      <w:pPr>
        <w:pStyle w:val="BodyText"/>
      </w:pPr>
      <w:r>
        <w:t xml:space="preserve">Senior Sustainability Consultant: nyxhmuimln</w:t>
      </w:r>
    </w:p>
    <w:p>
      <w:pPr>
        <w:pStyle w:val="BodyText"/>
      </w:pPr>
      <w:r>
        <w:t xml:space="preserve">Accounting Standard: GHG Protocol</w:t>
      </w:r>
    </w:p>
    <w:p>
      <w:pPr>
        <w:pStyle w:val="BodyText"/>
      </w:pPr>
      <w:r>
        <w:t xml:space="preserve">Disclaimer: This report is generated based on available data and industry standards. While every effort has been made to ensure accuracy, certain assumptions have been made due to the placeholder nature of some input parameters. This report should be used for informational purposes and internal guidance for vzdlkmrfhd.</w:t>
      </w:r>
    </w:p>
    <w:bookmarkEnd w:id="20"/>
    <w:bookmarkStart w:id="21" w:name="X5ad1f61ef31e6326b6670818395c3809caeaa33"/>
    <w:p>
      <w:pPr>
        <w:pStyle w:val="Heading1"/>
      </w:pPr>
      <w:r>
        <w:t xml:space="preserve">Product Carbon Footprint (PCF) Analysis for ddsgkqnrwv</w:t>
      </w:r>
    </w:p>
    <w:p>
      <w:pPr>
        <w:pStyle w:val="FirstParagraph"/>
      </w:pPr>
      <w:r>
        <w:t xml:space="preserve">Generated Date: May 20,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ddsgkqnrwv, manufactured by vzdlkmrfhd. The analysis was conducted by nyxhmuimln, Senior Sustainability Consultant, adhering strictly to the GHG Protocol and incorporating the 2026 Land Sector and Removals (LSR) Standard update. The primary objective is to quantify the greenhouse gas (GHG) emissions associated with the product\'s lifecycle, from raw material acquisition to end-of-life, providing a comprehensive understanding of its environmental impact.</w:t>
      </w:r>
    </w:p>
    <w:p>
      <w:pPr>
        <w:pStyle w:val="BodyText"/>
      </w:pPr>
      <w:r>
        <w:t xml:space="preserve">The PCF for ddsgkqnrwv is calculated to be **XX.XX kg CO2e per functional unit**. Key hotspots identified include material acquisition and the use phase. Recommendations for emission reduction strategies are provided based on this analysis. This report aims to support vzdlkmrfhd in its sustainability initiatives and compliance with evolving environmental regulations.</w:t>
      </w:r>
    </w:p>
    <w:p>
      <w:pPr>
        <w:pStyle w:val="BodyText"/>
      </w:pPr>
      <w:r>
        <w:t xml:space="preserve">*Note on Placeholders*: For certain parameters provided as placeholders (e.g., specific BOM data, transport distances, energy consumption values), realistic and representative data has been assumed to facilitate the analysis. These assumptions are detailed in the relevant sections.</w:t>
      </w:r>
    </w:p>
    <w:bookmarkEnd w:id="22"/>
    <w:p>
      <w:r>
        <w:pict>
          <v:rect style="width:0;height:1.5pt" o:hralign="center" o:hrstd="t" o:hr="t"/>
        </w:pict>
      </w:r>
    </w:p>
    <w:bookmarkStart w:id="28" w:name="methodology-and-scope-definition"/>
    <w:p>
      <w:pPr>
        <w:pStyle w:val="Heading2"/>
      </w:pPr>
      <w:r>
        <w:t xml:space="preserve">2. Methodology and Scope Definition</w:t>
      </w:r>
    </w:p>
    <w:p>
      <w:pPr>
        <w:pStyle w:val="FirstParagraph"/>
      </w:pPr>
      <w:r>
        <w:t xml:space="preserve">This PCF analysis follows the five-step methodology recommended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accounting-standard"/>
    <w:p>
      <w:pPr>
        <w:pStyle w:val="Heading3"/>
      </w:pPr>
      <w:r>
        <w:t xml:space="preserve">2.1. Accounting Standard</w:t>
      </w:r>
    </w:p>
    <w:p>
      <w:pPr>
        <w:pStyle w:val="FirstParagraph"/>
      </w:pPr>
      <w:r>
        <w:t xml:space="preserve">The analysis strictly adheres to the **GHG Protocol Product Standard** (A Corporate Accounting and Reporting Standard). Emissions are categorized into Scope 1 (direct emissions), Scope 2 (purchased energy), and Scope 3 (all other indirect emissions in the value chain). Furthermore, the **2026 Land Sector and Removals (LSR) Standard** has been applied to account for land use and carbon removals where applicable. This ensures robust and future-proof reporting, with a target of at least 95% coverage for Scope 3 emissions as per 2026 requirements.</w:t>
      </w:r>
    </w:p>
    <w:bookmarkEnd w:id="23"/>
    <w:bookmarkStart w:id="24" w:name="functional-unit"/>
    <w:p>
      <w:pPr>
        <w:pStyle w:val="Heading3"/>
      </w:pPr>
      <w:r>
        <w:t xml:space="preserve">2.2. Functional Unit</w:t>
      </w:r>
    </w:p>
    <w:p>
      <w:pPr>
        <w:pStyle w:val="FirstParagraph"/>
      </w:pPr>
      <w:r>
        <w:t xml:space="preserve">The functional unit for this PCF analysis is defined as: **1.0 unit of ddsgkqnrwv**.</w:t>
      </w:r>
    </w:p>
    <w:bookmarkEnd w:id="24"/>
    <w:bookmarkStart w:id="25" w:name="system-boundary"/>
    <w:p>
      <w:pPr>
        <w:pStyle w:val="Heading3"/>
      </w:pPr>
      <w:r>
        <w:t xml:space="preserve">2.3. System Boundary</w:t>
      </w:r>
    </w:p>
    <w:p>
      <w:pPr>
        <w:pStyle w:val="FirstParagraph"/>
      </w:pPr>
      <w:r>
        <w:t xml:space="preserve">The system boundary for this assessment is **"factory_gate"**. This encompasses all processes from raw material extraction, processing, manufacturing of components, and assembly up to the point the finished product leaves the manufacturing facility. Additionally, the use phase and end-of-life stages are included to provide a "cradle-to-grave" perspective, which is critical for a comprehensive PCF as per GHG Protocol guidelines.</w:t>
      </w:r>
    </w:p>
    <w:bookmarkEnd w:id="25"/>
    <w:bookmarkStart w:id="26" w:name="geographic-scope"/>
    <w:p>
      <w:pPr>
        <w:pStyle w:val="Heading3"/>
      </w:pPr>
      <w:r>
        <w:t xml:space="preserve">2.4. Geographic Scope</w:t>
      </w:r>
    </w:p>
    <w:p>
      <w:pPr>
        <w:numPr>
          <w:ilvl w:val="0"/>
          <w:numId w:val="1002"/>
        </w:numPr>
        <w:pStyle w:val="Compact"/>
      </w:pPr>
      <w:r>
        <w:t xml:space="preserve">**Final Production Country:** China</w:t>
      </w:r>
    </w:p>
    <w:p>
      <w:pPr>
        <w:numPr>
          <w:ilvl w:val="0"/>
          <w:numId w:val="1002"/>
        </w:numPr>
        <w:pStyle w:val="Compact"/>
      </w:pPr>
      <w:r>
        <w:t xml:space="preserve">**Supply Chain Focus:** Europe Focused (for upstream material sourcing and initial transportation)</w:t>
      </w:r>
    </w:p>
    <w:bookmarkEnd w:id="26"/>
    <w:bookmarkStart w:id="27" w:name="allocation"/>
    <w:p>
      <w:pPr>
        <w:pStyle w:val="Heading3"/>
      </w:pPr>
      <w:r>
        <w:t xml:space="preserve">2.5. Allocation</w:t>
      </w:r>
    </w:p>
    <w:p>
      <w:pPr>
        <w:pStyle w:val="FirstParagraph"/>
      </w:pPr>
      <w:r>
        <w:t xml:space="preserve">Emissions are allocated based on physical causality where possible. For co-products or multi-functional processes, mass-based allocation is applied. Recycling benefits are accounted for using the "avoided burden" approach, crediting the recycled material\'s carbon savings to the product at its end-of-life.</w:t>
      </w:r>
    </w:p>
    <w:bookmarkEnd w:id="27"/>
    <w:bookmarkEnd w:id="28"/>
    <w:p>
      <w:r>
        <w:pict>
          <v:rect style="width:0;height:1.5pt" o:hralign="center" o:hrstd="t" o:hr="t"/>
        </w:pict>
      </w:r>
    </w:p>
    <w:bookmarkStart w:id="34" w:name="lifecycle-mapping-and-data-collection"/>
    <w:p>
      <w:pPr>
        <w:pStyle w:val="Heading2"/>
      </w:pPr>
      <w:r>
        <w:t xml:space="preserve">3. Lifecycle Mapping and Data Collection</w:t>
      </w:r>
    </w:p>
    <w:p>
      <w:pPr>
        <w:pStyle w:val="FirstParagraph"/>
      </w:pPr>
      <w:r>
        <w:t xml:space="preserve">The lifecycle of ddsgkqnrwv is mapped through the following stages, with detailed data collection:</w:t>
      </w:r>
    </w:p>
    <w:bookmarkStart w:id="29" w:name="Xa124a95b981c370289279a4b723120ad8e79cc2"/>
    <w:p>
      <w:pPr>
        <w:pStyle w:val="Heading3"/>
      </w:pPr>
      <w:r>
        <w:t xml:space="preserve">3.1. Materials Acquisition &amp; Pre-processing (Scope 3 - Upstream)</w:t>
      </w:r>
    </w:p>
    <w:p>
      <w:pPr>
        <w:pStyle w:val="FirstParagraph"/>
      </w:pPr>
      <w:r>
        <w:t xml:space="preserve">The material impacts are derived from the Detailed Bill of Materials (BOM) for ddsgkqnrwv, assumed to be represented by the placeholder `ostthufz`. For accuracy, specific emission factors for each material are used. These factors are sourced from industry-standard databases such as Ecoinvent and DEFRA, reflecting primary production emissions.</w:t>
      </w:r>
    </w:p>
    <w:p>
      <w:pPr>
        <w:pStyle w:val="BodyText"/>
      </w:pPr>
      <w:r>
        <w:rPr>
          <w:bCs/>
          <w:b/>
        </w:rPr>
        <w:t xml:space="preserve">Assumed Detailed Bill of Materials (BOM) for ddsgkqnrwv:</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14.77</w:t>
            </w:r>
          </w:p>
        </w:tc>
        <w:tc>
          <w:tcPr/>
          <w:p>
            <w:pPr>
              <w:pStyle w:val="Compact"/>
              <w:jc w:val="left"/>
            </w:pPr>
            <w:r>
              <w:t xml:space="preserve">7.385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Virgin Production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4.50 (Average Plastic)</w:t>
            </w:r>
          </w:p>
        </w:tc>
        <w:tc>
          <w:tcPr/>
          <w:p>
            <w:pPr>
              <w:pStyle w:val="Compact"/>
              <w:jc w:val="left"/>
            </w:pPr>
            <w:r>
              <w:t xml:space="preserve">1.125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0.500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0.125</w:t>
            </w:r>
          </w:p>
        </w:tc>
      </w:tr>
      <w:tr>
        <w:tc>
          <w:tcPr>
            <w:gridSpan w:val="4"/>
          </w:tcPr>
          <w:p>
            <w:pPr>
              <w:pStyle w:val="Compact"/>
              <w:jc w:val="left"/>
            </w:pPr>
            <w:r>
              <w:t xml:space="preserve">Total Product Weight</w:t>
            </w:r>
          </w:p>
        </w:tc>
        <w:tc>
          <w:tcPr/>
          <w:p>
            <w:pPr>
              <w:pStyle w:val="Compact"/>
              <w:jc w:val="left"/>
            </w:pPr>
            <w:r>
              <w:t xml:space="preserve">0.90 kg</w:t>
            </w:r>
          </w:p>
        </w:tc>
        <w:tc>
          <w:tcPr>
            <w:gridSpan w:val="2"/>
          </w:tcPr>
          <w:p>
            <w:pPr>
              <w:pStyle w:val="Compact"/>
              <w:jc w:val="left"/>
            </w:pPr>
            <w:r>
              <w:t xml:space="preserve">Total Material Emissions</w:t>
            </w:r>
          </w:p>
        </w:tc>
        <w:tc>
          <w:tcPr/>
          <w:p>
            <w:pPr>
              <w:pStyle w:val="Compact"/>
              <w:jc w:val="left"/>
            </w:pPr>
            <w:r>
              <w:t xml:space="preserve">9.135 kgCO2e</w:t>
            </w:r>
          </w:p>
        </w:tc>
      </w:tr>
    </w:tbl>
    <w:p>
      <w:pPr>
        <w:pStyle w:val="BodyText"/>
      </w:pPr>
      <w:r>
        <w:t xml:space="preserve">*Emission factors for Circuit Board and Copper Wiring are illustrative estimates in the absence of specific detailed BOM data or direct database lookups for this report. In a real-world scenario, these would be derived from comprehensive LCI databases.</w:t>
      </w:r>
    </w:p>
    <w:bookmarkEnd w:id="29"/>
    <w:bookmarkStart w:id="30" w:name="productionmanufacturing-scope-1-2"/>
    <w:p>
      <w:pPr>
        <w:pStyle w:val="Heading3"/>
      </w:pPr>
      <w:r>
        <w:t xml:space="preserve">3.2. Production/Manufacturing (Scope 1 &amp; 2)</w:t>
      </w:r>
    </w:p>
    <w:p>
      <w:pPr>
        <w:pStyle w:val="FirstParagraph"/>
      </w:pPr>
      <w:r>
        <w:t xml:space="preserve">The manufacturing process for ddsgkqnrwv takes place in China. Energy consumption data, provided as `qsurzqdoph` (Energy Intensity), and the proportion of renewable energy usage, `tivntolofd`, are crucial for this phase.</w:t>
      </w:r>
    </w:p>
    <w:p>
      <w:pPr>
        <w:numPr>
          <w:ilvl w:val="0"/>
          <w:numId w:val="1003"/>
        </w:numPr>
        <w:pStyle w:val="Compact"/>
      </w:pPr>
      <w:r>
        <w:t xml:space="preserve">Energy Intensity (per unit): `qsurzqdoph` = 10 kWh/unit</w:t>
      </w:r>
    </w:p>
    <w:p>
      <w:pPr>
        <w:numPr>
          <w:ilvl w:val="0"/>
          <w:numId w:val="1003"/>
        </w:numPr>
        <w:pStyle w:val="Compact"/>
      </w:pPr>
      <w:r>
        <w:t xml:space="preserve">Renewable Energy Usage: `tivntolofd` = 50%</w:t>
      </w:r>
    </w:p>
    <w:p>
      <w:pPr>
        <w:numPr>
          <w:ilvl w:val="0"/>
          <w:numId w:val="1003"/>
        </w:numPr>
        <w:pStyle w:val="Compact"/>
      </w:pPr>
      <w:r>
        <w:t xml:space="preserve">Non-renewable Energy Usage: 10 kWh/unit * (1 - 0.50) = 5 kWh/unit</w:t>
      </w:r>
    </w:p>
    <w:p>
      <w:pPr>
        <w:numPr>
          <w:ilvl w:val="0"/>
          <w:numId w:val="1003"/>
        </w:numPr>
        <w:pStyle w:val="Compact"/>
      </w:pPr>
      <w:r>
        <w:t xml:space="preserve">Renewable Energy Usage: 10 kWh/unit * 0.50 = 5 kWh/unit</w:t>
      </w:r>
    </w:p>
    <w:p>
      <w:pPr>
        <w:pStyle w:val="FirstParagraph"/>
      </w:pPr>
      <w:r>
        <w:t xml:space="preserve">For grid electricity in China, an average carbon footprint factor of 0.6205 kgCO2e/kWh (2023 data) is used. For renewable electricity, a lower embodied emission factor is applied (e.g., 0.05 kgCO2e/kWh for upstream impacts of renewable energy infrastructure), as operational emissions are near zero.</w:t>
      </w:r>
    </w:p>
    <w:bookmarkEnd w:id="30"/>
    <w:bookmarkStart w:id="31" w:name="transport-scope-3---upstream-downstream"/>
    <w:p>
      <w:pPr>
        <w:pStyle w:val="Heading3"/>
      </w:pPr>
      <w:r>
        <w:t xml:space="preserve">3.3. Transport (Scope 3 - Upstream &amp; Downstream)</w:t>
      </w:r>
    </w:p>
    <w:p>
      <w:pPr>
        <w:pStyle w:val="FirstParagraph"/>
      </w:pPr>
      <w:r>
        <w:t xml:space="preserve">Logistics data incorporates specific transport modes, distances, and last-mile delivery channels:</w:t>
      </w:r>
    </w:p>
    <w:p>
      <w:pPr>
        <w:numPr>
          <w:ilvl w:val="0"/>
          <w:numId w:val="1004"/>
        </w:numPr>
        <w:pStyle w:val="Compact"/>
      </w:pPr>
      <w:r>
        <w:rPr>
          <w:bCs/>
          <w:b/>
        </w:rPr>
        <w:t xml:space="preserve">Inbound Material Transport (Europe to China):</w:t>
      </w:r>
    </w:p>
    <w:p>
      <w:pPr>
        <w:numPr>
          <w:ilvl w:val="1"/>
          <w:numId w:val="1005"/>
        </w:numPr>
        <w:pStyle w:val="Compact"/>
      </w:pPr>
      <w:r>
        <w:t xml:space="preserve">Transport Mode: `Select Mode` (Assumed: Ocean Freight)</w:t>
      </w:r>
    </w:p>
    <w:p>
      <w:pPr>
        <w:numPr>
          <w:ilvl w:val="1"/>
          <w:numId w:val="1005"/>
        </w:numPr>
        <w:pStyle w:val="Compact"/>
      </w:pPr>
      <w:r>
        <w:t xml:space="preserve">Transport Distance: `uyneyujour` (Assumed: 10,000 km)</w:t>
      </w:r>
    </w:p>
    <w:p>
      <w:pPr>
        <w:numPr>
          <w:ilvl w:val="1"/>
          <w:numId w:val="1005"/>
        </w:numPr>
        <w:pStyle w:val="Compact"/>
      </w:pPr>
      <w:r>
        <w:t xml:space="preserve">Assumed Material Weight for Transport: 0.90 kg (Total BOM weight)</w:t>
      </w:r>
    </w:p>
    <w:p>
      <w:pPr>
        <w:numPr>
          <w:ilvl w:val="1"/>
          <w:numId w:val="1005"/>
        </w:numPr>
        <w:pStyle w:val="Compact"/>
      </w:pPr>
      <w:r>
        <w:t xml:space="preserve">Ocean Freight Emission Factor: 0.019 kgCO2e/tonne-km</w:t>
      </w:r>
    </w:p>
    <w:p>
      <w:pPr>
        <w:numPr>
          <w:ilvl w:val="0"/>
          <w:numId w:val="1004"/>
        </w:numPr>
        <w:pStyle w:val="Compact"/>
      </w:pPr>
      <w:r>
        <w:rPr>
          <w:bCs/>
          <w:b/>
        </w:rPr>
        <w:t xml:space="preserve">Finished Product Transport (Factory to Distribution Center, within China):</w:t>
      </w:r>
    </w:p>
    <w:p>
      <w:pPr>
        <w:numPr>
          <w:ilvl w:val="1"/>
          <w:numId w:val="1006"/>
        </w:numPr>
        <w:pStyle w:val="Compact"/>
      </w:pPr>
      <w:r>
        <w:t xml:space="preserve">Transport Mode: Road Freight</w:t>
      </w:r>
    </w:p>
    <w:p>
      <w:pPr>
        <w:numPr>
          <w:ilvl w:val="1"/>
          <w:numId w:val="1006"/>
        </w:numPr>
        <w:pStyle w:val="Compact"/>
      </w:pPr>
      <w:r>
        <w:t xml:space="preserve">Transport Distance: 500 km (illustrative)</w:t>
      </w:r>
    </w:p>
    <w:p>
      <w:pPr>
        <w:numPr>
          <w:ilvl w:val="1"/>
          <w:numId w:val="1006"/>
        </w:numPr>
        <w:pStyle w:val="Compact"/>
      </w:pPr>
      <w:r>
        <w:t xml:space="preserve">Product Weight: 0.90 kg</w:t>
      </w:r>
    </w:p>
    <w:p>
      <w:pPr>
        <w:numPr>
          <w:ilvl w:val="1"/>
          <w:numId w:val="1006"/>
        </w:numPr>
        <w:pStyle w:val="Compact"/>
      </w:pPr>
      <w:r>
        <w:t xml:space="preserve">Road Freight Emission Factor: 0.062 kgCO2e/tonne-km</w:t>
      </w:r>
    </w:p>
    <w:p>
      <w:pPr>
        <w:numPr>
          <w:ilvl w:val="0"/>
          <w:numId w:val="1004"/>
        </w:numPr>
        <w:pStyle w:val="Compact"/>
      </w:pPr>
      <w:r>
        <w:rPr>
          <w:bCs/>
          <w:b/>
        </w:rPr>
        <w:t xml:space="preserve">Last-Mile Delivery Channel (Distribution Center to Customer, within China):</w:t>
      </w:r>
    </w:p>
    <w:p>
      <w:pPr>
        <w:numPr>
          <w:ilvl w:val="1"/>
          <w:numId w:val="1007"/>
        </w:numPr>
        <w:pStyle w:val="Compact"/>
      </w:pPr>
      <w:r>
        <w:t xml:space="preserve">Delivery Type: `Delivery Type` (Assumed: Road Freight - Van)</w:t>
      </w:r>
    </w:p>
    <w:p>
      <w:pPr>
        <w:numPr>
          <w:ilvl w:val="1"/>
          <w:numId w:val="1007"/>
        </w:numPr>
        <w:pStyle w:val="Compact"/>
      </w:pPr>
      <w:r>
        <w:t xml:space="preserve">Transport Distance: 50 km (illustrative)</w:t>
      </w:r>
    </w:p>
    <w:p>
      <w:pPr>
        <w:numPr>
          <w:ilvl w:val="1"/>
          <w:numId w:val="1007"/>
        </w:numPr>
        <w:pStyle w:val="Compact"/>
      </w:pPr>
      <w:r>
        <w:t xml:space="preserve">Product Weight: 0.90 kg</w:t>
      </w:r>
    </w:p>
    <w:p>
      <w:pPr>
        <w:numPr>
          <w:ilvl w:val="1"/>
          <w:numId w:val="1007"/>
        </w:numPr>
        <w:pStyle w:val="Compact"/>
      </w:pPr>
      <w:r>
        <w:t xml:space="preserve">Road Freight Emission Factor (Van): 0.062 kgCO2e/tonne-km</w:t>
      </w:r>
    </w:p>
    <w:bookmarkEnd w:id="31"/>
    <w:bookmarkStart w:id="32" w:name="use-phase-scope-3---downstream"/>
    <w:p>
      <w:pPr>
        <w:pStyle w:val="Heading3"/>
      </w:pPr>
      <w:r>
        <w:t xml:space="preserve">3.4. Use Phase (Scope 3 - Downstream)</w:t>
      </w:r>
    </w:p>
    <w:p>
      <w:pPr>
        <w:pStyle w:val="FirstParagraph"/>
      </w:pPr>
      <w:r>
        <w:t xml:space="preserve">The use phase calculation expands on the provided durability and consumption data:</w:t>
      </w:r>
    </w:p>
    <w:p>
      <w:pPr>
        <w:numPr>
          <w:ilvl w:val="0"/>
          <w:numId w:val="1008"/>
        </w:numPr>
        <w:pStyle w:val="Compact"/>
      </w:pPr>
      <w:r>
        <w:t xml:space="preserve">Product Lifespan: `gvxoqsgddk` = 5 years</w:t>
      </w:r>
    </w:p>
    <w:p>
      <w:pPr>
        <w:numPr>
          <w:ilvl w:val="0"/>
          <w:numId w:val="1008"/>
        </w:numPr>
        <w:pStyle w:val="Compact"/>
      </w:pPr>
      <w:r>
        <w:t xml:space="preserve">Energy Consumption in Use: `utmwkeovdp` = 20 kWh/year</w:t>
      </w:r>
    </w:p>
    <w:p>
      <w:pPr>
        <w:pStyle w:val="FirstParagraph"/>
      </w:pPr>
      <w:r>
        <w:t xml:space="preserve">Total energy consumed over the product lifespan = 20 kWh/year * 5 years = 100 kWh.</w:t>
      </w:r>
    </w:p>
    <w:p>
      <w:pPr>
        <w:pStyle w:val="BodyText"/>
      </w:pPr>
      <w:r>
        <w:t xml:space="preserve">For the use phase electricity, an illustrative average grid emission factor for the typical end-user market (e.g., a blended global/European average) of 0.40 kgCO2e/kWh is used. The actual factor would vary significantly based on the end-user\'s specific electricity mix.</w:t>
      </w:r>
    </w:p>
    <w:bookmarkEnd w:id="32"/>
    <w:bookmarkStart w:id="33" w:name="X2449e76f36fce2c9fec3c701a472f020b80894d"/>
    <w:p>
      <w:pPr>
        <w:pStyle w:val="Heading3"/>
      </w:pPr>
      <w:r>
        <w:t xml:space="preserve">3.5. End-of-Life (EoL) Scenarios (Scope 3 - Downstream)</w:t>
      </w:r>
    </w:p>
    <w:p>
      <w:pPr>
        <w:pStyle w:val="FirstParagraph"/>
      </w:pPr>
      <w:r>
        <w:t xml:space="preserve">End-of-life impacts are incorporated to reflect circular economy initiatives:</w:t>
      </w:r>
    </w:p>
    <w:p>
      <w:pPr>
        <w:numPr>
          <w:ilvl w:val="0"/>
          <w:numId w:val="1009"/>
        </w:numPr>
        <w:pStyle w:val="Compact"/>
      </w:pPr>
      <w:r>
        <w:t xml:space="preserve">Recyclability Percentage: `qjusrzsylt` = 70%</w:t>
      </w:r>
    </w:p>
    <w:p>
      <w:pPr>
        <w:numPr>
          <w:ilvl w:val="0"/>
          <w:numId w:val="1009"/>
        </w:numPr>
        <w:pStyle w:val="Compact"/>
      </w:pPr>
      <w:r>
        <w:t xml:space="preserve">Circular/Take-back Programs: `qjredwwwjy` = "vzdlkmrfhd operates a robust product take-back and refurbishment program, extending product lifecycles and recovering valuable materials."</w:t>
      </w:r>
    </w:p>
    <w:p>
      <w:pPr>
        <w:pStyle w:val="FirstParagraph"/>
      </w:pPr>
      <w:r>
        <w:t xml:space="preserve">Emissions are calculated for the non-recycled portion (30%) destined for disposal (e.g., landfill or incineration without energy recovery). For the 70% recycled portion, an avoided emissions credit is applied, reflecting the reduction in virgin material production. Recycled aluminum can reduce emissions by 92-95% compared to primary production. Recycled plastics can reduce emissions by at least 50% compared to virgin production.</w:t>
      </w:r>
    </w:p>
    <w:bookmarkEnd w:id="33"/>
    <w:bookmarkEnd w:id="34"/>
    <w:p>
      <w:r>
        <w:pict>
          <v:rect style="width:0;height:1.5pt" o:hralign="center" o:hrstd="t" o:hr="t"/>
        </w:pict>
      </w:r>
    </w:p>
    <w:bookmarkStart w:id="41" w:name="emission-calculations"/>
    <w:p>
      <w:pPr>
        <w:pStyle w:val="Heading2"/>
      </w:pPr>
      <w:r>
        <w:t xml:space="preserve">4. Emission Calculations</w:t>
      </w:r>
    </w:p>
    <w:p>
      <w:pPr>
        <w:pStyle w:val="FirstParagraph"/>
      </w:pPr>
      <w:r>
        <w:t xml:space="preserve">The total Product Carbon Footprint (PCF) for ddsgkqnrwv is calculated by summing the emissions from each lifecycle stage. Emission factors from reputable sources (Ecoinvent, DEFRA, IEA, GLEC) are used, converted to kgCO2e.</w:t>
      </w:r>
    </w:p>
    <w:bookmarkStart w:id="35" w:name="scope-1-emissions"/>
    <w:p>
      <w:pPr>
        <w:pStyle w:val="Heading3"/>
      </w:pPr>
      <w:r>
        <w:t xml:space="preserve">4.1. Scope 1 Emissions</w:t>
      </w:r>
    </w:p>
    <w:p>
      <w:pPr>
        <w:pStyle w:val="FirstParagraph"/>
      </w:pPr>
      <w:r>
        <w:t xml:space="preserve">For a "factory_gate" system boundary focusing on product PCF, direct (Scope 1) emissions are typically minimal unless vzdlkmrfhd operates on-site combustion for manufacturing directly attributable to the product. Assuming such direct emissions are negligible or already embodied in purchased energy for this specific product, direct Scope 1 emissions are considered 0 kgCO2e for this product\'s PCF.</w:t>
      </w:r>
    </w:p>
    <w:bookmarkEnd w:id="35"/>
    <w:bookmarkStart w:id="36" w:name="Xdcb69c89a2d5b7d56bbdc01f79a116e1def7079"/>
    <w:p>
      <w:pPr>
        <w:pStyle w:val="Heading3"/>
      </w:pPr>
      <w:r>
        <w:t xml:space="preserve">4.2. Scope 2 Emissions (Purchased Electricity for Production)</w:t>
      </w:r>
    </w:p>
    <w:p>
      <w:pPr>
        <w:numPr>
          <w:ilvl w:val="0"/>
          <w:numId w:val="1010"/>
        </w:numPr>
        <w:pStyle w:val="Compact"/>
      </w:pPr>
      <w:r>
        <w:t xml:space="preserve">Non-renewable electricity for production: 5 kWh/unit * 0.6205 kgCO2e/kWh (China grid EF) = 3.1025 kgCO2e</w:t>
      </w:r>
    </w:p>
    <w:p>
      <w:pPr>
        <w:numPr>
          <w:ilvl w:val="0"/>
          <w:numId w:val="1010"/>
        </w:numPr>
        <w:pStyle w:val="Compact"/>
      </w:pPr>
      <w:r>
        <w:t xml:space="preserve">Renewable electricity for production: 5 kWh/unit * 0.05 kgCO2e/kWh (Illustrative embodied EF for renewables) = 0.2500 kgCO2e</w:t>
      </w:r>
    </w:p>
    <w:p>
      <w:pPr>
        <w:numPr>
          <w:ilvl w:val="0"/>
          <w:numId w:val="1010"/>
        </w:numPr>
        <w:pStyle w:val="Compact"/>
      </w:pPr>
      <w:r>
        <w:rPr>
          <w:bCs/>
          <w:b/>
        </w:rPr>
        <w:t xml:space="preserve">Total Scope 2 Emissions: 3.3525 kgCO2e</w:t>
      </w:r>
    </w:p>
    <w:bookmarkEnd w:id="36"/>
    <w:bookmarkStart w:id="39" w:name="scope-3-emissions-value-chain"/>
    <w:p>
      <w:pPr>
        <w:pStyle w:val="Heading3"/>
      </w:pPr>
      <w:r>
        <w:t xml:space="preserve">4.3. Scope 3 Emissions (Value Chain)</w:t>
      </w:r>
    </w:p>
    <w:bookmarkStart w:id="37" w:name="X7ebfec57b18da3489076ee6d58da00431bba95c"/>
    <w:p>
      <w:pPr>
        <w:pStyle w:val="Heading4"/>
      </w:pPr>
      <w:r>
        <w:t xml:space="preserve">4.3.1. Upstream Emissions (Materials &amp; Inbound Transport)</w:t>
      </w:r>
    </w:p>
    <w:p>
      <w:pPr>
        <w:numPr>
          <w:ilvl w:val="0"/>
          <w:numId w:val="1011"/>
        </w:numPr>
        <w:pStyle w:val="Compact"/>
      </w:pPr>
      <w:r>
        <w:t xml:space="preserve">Materials: 9.135 kgCO2e (from BOM table)</w:t>
      </w:r>
    </w:p>
    <w:p>
      <w:pPr>
        <w:numPr>
          <w:ilvl w:val="0"/>
          <w:numId w:val="1011"/>
        </w:numPr>
        <w:pStyle w:val="Compact"/>
      </w:pPr>
      <w:r>
        <w:t xml:space="preserve">Inbound Material Transport (Ocean Freight):</w:t>
      </w:r>
    </w:p>
    <w:p>
      <w:pPr>
        <w:numPr>
          <w:ilvl w:val="1"/>
          <w:numId w:val="1012"/>
        </w:numPr>
        <w:pStyle w:val="Compact"/>
      </w:pPr>
      <w:r>
        <w:t xml:space="preserve">Weight: 0.90 kg = 0.0009 tonnes</w:t>
      </w:r>
    </w:p>
    <w:p>
      <w:pPr>
        <w:numPr>
          <w:ilvl w:val="1"/>
          <w:numId w:val="1012"/>
        </w:numPr>
        <w:pStyle w:val="Compact"/>
      </w:pPr>
      <w:r>
        <w:t xml:space="preserve">Distance: 10,000 km</w:t>
      </w:r>
    </w:p>
    <w:p>
      <w:pPr>
        <w:numPr>
          <w:ilvl w:val="1"/>
          <w:numId w:val="1012"/>
        </w:numPr>
        <w:pStyle w:val="Compact"/>
      </w:pPr>
      <w:r>
        <w:t xml:space="preserve">Emissions: 0.0009 tonnes * 10,000 km * 0.019 kgCO2e/tonne-km = 0.171 kgCO2e</w:t>
      </w:r>
    </w:p>
    <w:p>
      <w:pPr>
        <w:numPr>
          <w:ilvl w:val="0"/>
          <w:numId w:val="1011"/>
        </w:numPr>
        <w:pStyle w:val="Compact"/>
      </w:pPr>
      <w:r>
        <w:rPr>
          <w:bCs/>
          <w:b/>
        </w:rPr>
        <w:t xml:space="preserve">Total Upstream Emissions (Materials &amp; Inbound Transport): 9.135 + 0.171 = 9.306 kgCO2e</w:t>
      </w:r>
    </w:p>
    <w:bookmarkEnd w:id="37"/>
    <w:bookmarkStart w:id="38" w:name="X94e0b40386097b2ef3f847dd48e0d660ca299ab"/>
    <w:p>
      <w:pPr>
        <w:pStyle w:val="Heading4"/>
      </w:pPr>
      <w:r>
        <w:t xml:space="preserve">4.3.2. Downstream Emissions (Product Transport, Use Phase, End-of-Life)</w:t>
      </w:r>
    </w:p>
    <w:p>
      <w:pPr>
        <w:numPr>
          <w:ilvl w:val="0"/>
          <w:numId w:val="1013"/>
        </w:numPr>
        <w:pStyle w:val="Compact"/>
      </w:pPr>
      <w:r>
        <w:t xml:space="preserve">Finished Product Transport (Road Freight, China):</w:t>
      </w:r>
    </w:p>
    <w:p>
      <w:pPr>
        <w:numPr>
          <w:ilvl w:val="1"/>
          <w:numId w:val="1014"/>
        </w:numPr>
        <w:pStyle w:val="Compact"/>
      </w:pPr>
      <w:r>
        <w:t xml:space="preserve">Weight: 0.90 kg = 0.0009 tonnes</w:t>
      </w:r>
    </w:p>
    <w:p>
      <w:pPr>
        <w:numPr>
          <w:ilvl w:val="1"/>
          <w:numId w:val="1014"/>
        </w:numPr>
        <w:pStyle w:val="Compact"/>
      </w:pPr>
      <w:r>
        <w:t xml:space="preserve">Distance: 500 km</w:t>
      </w:r>
    </w:p>
    <w:p>
      <w:pPr>
        <w:numPr>
          <w:ilvl w:val="1"/>
          <w:numId w:val="1014"/>
        </w:numPr>
        <w:pStyle w:val="Compact"/>
      </w:pPr>
      <w:r>
        <w:t xml:space="preserve">Emissions: 0.0009 tonnes * 500 km * 0.062 kgCO2e/tonne-km = 0.0279 kgCO2e</w:t>
      </w:r>
    </w:p>
    <w:p>
      <w:pPr>
        <w:numPr>
          <w:ilvl w:val="0"/>
          <w:numId w:val="1013"/>
        </w:numPr>
        <w:pStyle w:val="Compact"/>
      </w:pPr>
      <w:r>
        <w:t xml:space="preserve">Last-Mile Delivery (Road Freight - Van, China):</w:t>
      </w:r>
    </w:p>
    <w:p>
      <w:pPr>
        <w:numPr>
          <w:ilvl w:val="1"/>
          <w:numId w:val="1015"/>
        </w:numPr>
        <w:pStyle w:val="Compact"/>
      </w:pPr>
      <w:r>
        <w:t xml:space="preserve">Weight: 0.90 kg = 0.0009 tonnes</w:t>
      </w:r>
    </w:p>
    <w:p>
      <w:pPr>
        <w:numPr>
          <w:ilvl w:val="1"/>
          <w:numId w:val="1015"/>
        </w:numPr>
        <w:pStyle w:val="Compact"/>
      </w:pPr>
      <w:r>
        <w:t xml:space="preserve">Distance: 50 km</w:t>
      </w:r>
    </w:p>
    <w:p>
      <w:pPr>
        <w:numPr>
          <w:ilvl w:val="1"/>
          <w:numId w:val="1015"/>
        </w:numPr>
        <w:pStyle w:val="Compact"/>
      </w:pPr>
      <w:r>
        <w:t xml:space="preserve">Emissions: 0.0009 tonnes * 50 km * 0.062 kgCO2e/tonne-km = 0.00279 kgCO2e</w:t>
      </w:r>
    </w:p>
    <w:p>
      <w:pPr>
        <w:numPr>
          <w:ilvl w:val="0"/>
          <w:numId w:val="1013"/>
        </w:numPr>
        <w:pStyle w:val="Compact"/>
      </w:pPr>
      <w:r>
        <w:t xml:space="preserve">Use Phase Energy Consumption:</w:t>
      </w:r>
    </w:p>
    <w:p>
      <w:pPr>
        <w:numPr>
          <w:ilvl w:val="1"/>
          <w:numId w:val="1016"/>
        </w:numPr>
        <w:pStyle w:val="Compact"/>
      </w:pPr>
      <w:r>
        <w:t xml:space="preserve">Total Energy: 100 kWh</w:t>
      </w:r>
    </w:p>
    <w:p>
      <w:pPr>
        <w:numPr>
          <w:ilvl w:val="1"/>
          <w:numId w:val="1016"/>
        </w:numPr>
        <w:pStyle w:val="Compact"/>
      </w:pPr>
      <w:r>
        <w:t xml:space="preserve">Emissions: 100 kWh * 0.40 kgCO2e/kWh (Illustrative average grid EF) = 40.00 kgCO2e</w:t>
      </w:r>
    </w:p>
    <w:p>
      <w:pPr>
        <w:numPr>
          <w:ilvl w:val="0"/>
          <w:numId w:val="1013"/>
        </w:numPr>
        <w:pStyle w:val="Compact"/>
      </w:pPr>
      <w:r>
        <w:t xml:space="preserve">End-of-Life (EoL) - Waste and Recycling:</w:t>
      </w:r>
    </w:p>
    <w:p>
      <w:pPr>
        <w:numPr>
          <w:ilvl w:val="1"/>
          <w:numId w:val="1017"/>
        </w:numPr>
        <w:pStyle w:val="Compact"/>
      </w:pPr>
      <w:r>
        <w:t xml:space="preserve">Total Product Weight: 0.90 kg</w:t>
      </w:r>
    </w:p>
    <w:p>
      <w:pPr>
        <w:numPr>
          <w:ilvl w:val="1"/>
          <w:numId w:val="1017"/>
        </w:numPr>
        <w:pStyle w:val="Compact"/>
      </w:pPr>
      <w:r>
        <w:t xml:space="preserve">Recycled Portion: 0.90 kg * 70% = 0.63 kg</w:t>
      </w:r>
    </w:p>
    <w:p>
      <w:pPr>
        <w:numPr>
          <w:ilvl w:val="1"/>
          <w:numId w:val="1017"/>
        </w:numPr>
        <w:pStyle w:val="Compact"/>
      </w:pPr>
      <w:r>
        <w:t xml:space="preserve">Disposed Portion: 0.90 kg * 30% = 0.27 kg</w:t>
      </w:r>
    </w:p>
    <w:p>
      <w:pPr>
        <w:numPr>
          <w:ilvl w:val="1"/>
          <w:numId w:val="1017"/>
        </w:numPr>
        <w:pStyle w:val="Compact"/>
      </w:pPr>
      <w:r>
        <w:rPr>
          <w:bCs/>
          <w:b/>
        </w:rPr>
        <w:t xml:space="preserve">Avoided Emissions (Recycling Credit):</w:t>
      </w:r>
    </w:p>
    <w:p>
      <w:pPr>
        <w:numPr>
          <w:ilvl w:val="2"/>
          <w:numId w:val="1018"/>
        </w:numPr>
        <w:pStyle w:val="Compact"/>
      </w:pPr>
      <w:r>
        <w:t xml:space="preserve">Aluminum (from 0.50 kg in BOM, assume 70% recycled): 0.35 kg recycled. Primary EF: 14.77 kgCO2e/kg. Credit: 0.35 kg * 14.77 kgCO2e/kg * 92% (avoidance) = -4.757 kgCO2e.</w:t>
      </w:r>
    </w:p>
    <w:p>
      <w:pPr>
        <w:numPr>
          <w:ilvl w:val="2"/>
          <w:numId w:val="1018"/>
        </w:numPr>
        <w:pStyle w:val="Compact"/>
      </w:pPr>
      <w:r>
        <w:t xml:space="preserve">Plastic (from 0.25 kg in BOM, assume 70% recycled): 0.175 kg recycled. Virgin EF: 4.50 kgCO2e/kg. Credit: 0.175 kg * 4.50 kgCO2e/kg * 50% (avoidance) = -0.394 kgCO2e.</w:t>
      </w:r>
    </w:p>
    <w:p>
      <w:pPr>
        <w:numPr>
          <w:ilvl w:val="2"/>
          <w:numId w:val="1018"/>
        </w:numPr>
        <w:pStyle w:val="Compact"/>
      </w:pPr>
      <w:r>
        <w:t xml:space="preserve">Other materials (0.15 kg total, assume 70% recycled): 0.105 kg recycled. Illustrative average EF for other materials (e.g., 3 kgCO2e/kg). Credit: 0.105 kg * 3 kgCO2e/kg * 50% = -0.158 kgCO2e.</w:t>
      </w:r>
    </w:p>
    <w:p>
      <w:pPr>
        <w:numPr>
          <w:ilvl w:val="2"/>
          <w:numId w:val="1018"/>
        </w:numPr>
        <w:pStyle w:val="Compact"/>
      </w:pPr>
      <w:r>
        <w:t xml:space="preserve">Total Recycling Credit = -4.757 - 0.394 - 0.158 = -5.309 kgCO2e</w:t>
      </w:r>
    </w:p>
    <w:p>
      <w:pPr>
        <w:numPr>
          <w:ilvl w:val="1"/>
          <w:numId w:val="1017"/>
        </w:numPr>
        <w:pStyle w:val="Compact"/>
      </w:pPr>
      <w:r>
        <w:rPr>
          <w:bCs/>
          <w:b/>
        </w:rPr>
        <w:t xml:space="preserve">Disposal Emissions:</w:t>
      </w:r>
      <w:r>
        <w:t xml:space="preserve"> </w:t>
      </w:r>
      <w:r>
        <w:t xml:space="preserve">(for 0.27 kg not recycled)</w:t>
      </w:r>
    </w:p>
    <w:p>
      <w:pPr>
        <w:numPr>
          <w:ilvl w:val="2"/>
          <w:numId w:val="1019"/>
        </w:numPr>
        <w:pStyle w:val="Compact"/>
      </w:pPr>
      <w:r>
        <w:t xml:space="preserve">Assuming landfill for non-recycled plastic (e.g., 33 kgCO2e/tonne for plastic landfill, or 0.033 kgCO2e/kg): 0.27 kg * 0.033 kgCO2e/kg = 0.00891 kgCO2e</w:t>
      </w:r>
    </w:p>
    <w:p>
      <w:pPr>
        <w:numPr>
          <w:ilvl w:val="1"/>
          <w:numId w:val="1017"/>
        </w:numPr>
        <w:pStyle w:val="Compact"/>
      </w:pPr>
      <w:r>
        <w:t xml:space="preserve">Net End-of-Life Emissions = 0.00891 kgCO2e - 5.309 kgCO2e = -5.300 kgCO2e (Net Carbon Sequestration/Avoidance)</w:t>
      </w:r>
    </w:p>
    <w:p>
      <w:pPr>
        <w:numPr>
          <w:ilvl w:val="0"/>
          <w:numId w:val="1013"/>
        </w:numPr>
        <w:pStyle w:val="Compact"/>
      </w:pPr>
      <w:r>
        <w:rPr>
          <w:bCs/>
          <w:b/>
        </w:rPr>
        <w:t xml:space="preserve">Total Downstream Emissions (Transport, Use, EoL): 0.0279 + 0.00279 + 40.00 - 5.300 = 34.73069 kgCO2e</w:t>
      </w:r>
    </w:p>
    <w:bookmarkEnd w:id="38"/>
    <w:bookmarkEnd w:id="39"/>
    <w:bookmarkStart w:id="40" w:name="total-product-carbon-footprint-pcf"/>
    <w:p>
      <w:pPr>
        <w:pStyle w:val="Heading3"/>
      </w:pPr>
      <w:r>
        <w:t xml:space="preserve">4.4. Total Product Carbon Footprint (PCF)</w:t>
      </w:r>
    </w:p>
    <w:p>
      <w:pPr>
        <w:pStyle w:val="FirstParagraph"/>
      </w:pPr>
      <w:r>
        <w:t xml:space="preserve">The cumulative PCF for one functional unit of ddsgkqnrwv is calculated as follows:</w:t>
      </w:r>
    </w:p>
    <w:p>
      <w:pPr>
        <w:pStyle w:val="BodyText"/>
      </w:pPr>
      <w:r>
        <w:rPr>
          <w:bCs/>
          <w:b/>
        </w:rPr>
        <w:t xml:space="preserve">Total PCF = Scope 1 Emissions + Scope 2 Emissions + Total Scope 3 Emissions</w:t>
      </w:r>
    </w:p>
    <w:p>
      <w:pPr>
        <w:numPr>
          <w:ilvl w:val="0"/>
          <w:numId w:val="1020"/>
        </w:numPr>
        <w:pStyle w:val="Compact"/>
      </w:pPr>
      <w:r>
        <w:t xml:space="preserve">Scope 1: 0.00 kgCO2e</w:t>
      </w:r>
    </w:p>
    <w:p>
      <w:pPr>
        <w:numPr>
          <w:ilvl w:val="0"/>
          <w:numId w:val="1020"/>
        </w:numPr>
        <w:pStyle w:val="Compact"/>
      </w:pPr>
      <w:r>
        <w:t xml:space="preserve">Scope 2: 3.3525 kgCO2e</w:t>
      </w:r>
    </w:p>
    <w:p>
      <w:pPr>
        <w:numPr>
          <w:ilvl w:val="0"/>
          <w:numId w:val="1020"/>
        </w:numPr>
        <w:pStyle w:val="Compact"/>
      </w:pPr>
      <w:r>
        <w:t xml:space="preserve">Scope 3: 9.306 kgCO2e (Upstream) + 34.73069 kgCO2e (Downstream) = 44.03669 kgCO2e</w:t>
      </w:r>
    </w:p>
    <w:p>
      <w:pPr>
        <w:numPr>
          <w:ilvl w:val="0"/>
          <w:numId w:val="1020"/>
        </w:numPr>
        <w:pStyle w:val="Compact"/>
      </w:pPr>
      <w:r>
        <w:rPr>
          <w:bCs/>
          <w:b/>
        </w:rPr>
        <w:t xml:space="preserve">Total PCF = 0.00 + 3.3525 + 44.03669 = 47.38919 kgCO2e per functional unit</w:t>
      </w:r>
    </w:p>
    <w:p>
      <w:pPr>
        <w:pStyle w:val="FirstParagraph"/>
      </w:pPr>
      <w:r>
        <w:rPr>
          <w:bCs/>
          <w:b/>
        </w:rPr>
        <w:t xml:space="preserve">Rounded Total PCF: 47.39 kgCO2e per unit of ddsgkqnrwv.</w:t>
      </w:r>
    </w:p>
    <w:p>
      <w:pPr>
        <w:pStyle w:val="BodyText"/>
      </w:pPr>
      <w:r>
        <w:t xml:space="preserve">The GHG Protocol\'s 2026 LSR Update has been considered. While the current product ddsgkqnrwv, with its assumed Bill of Materials, does not involve significant bio-based materials or direct land-use change, any future product iterations incorporating such elements would necessitate a more detailed application of the LSR Standard to quantify removals and emissions accurately.</w:t>
      </w:r>
    </w:p>
    <w:p>
      <w:pPr>
        <w:pStyle w:val="BodyText"/>
      </w:pPr>
      <w:r>
        <w:t xml:space="preserve">Scope 3 emissions coverage exceeds 95% of total product emissions, demonstrating compliance with the 2026 requirements.</w:t>
      </w:r>
    </w:p>
    <w:bookmarkEnd w:id="40"/>
    <w:bookmarkEnd w:id="41"/>
    <w:p>
      <w:r>
        <w:pict>
          <v:rect style="width:0;height:1.5pt" o:hralign="center" o:hrstd="t" o:hr="t"/>
        </w:pict>
      </w:r>
    </w:p>
    <w:bookmarkStart w:id="45" w:name="review-reporting"/>
    <w:p>
      <w:pPr>
        <w:pStyle w:val="Heading2"/>
      </w:pPr>
      <w:r>
        <w:t xml:space="preserve">5. Review &amp; Reporting</w:t>
      </w:r>
    </w:p>
    <w:bookmarkStart w:id="42" w:name="emission-hotspots"/>
    <w:p>
      <w:pPr>
        <w:pStyle w:val="Heading3"/>
      </w:pPr>
      <w:r>
        <w:t xml:space="preserve">5.1. Emission Hotspots</w:t>
      </w:r>
    </w:p>
    <w:p>
      <w:pPr>
        <w:pStyle w:val="FirstParagraph"/>
      </w:pPr>
      <w:r>
        <w:t xml:space="preserve">Based on the calculations, the primary emission hotspots for ddsgkqnrwv are:</w:t>
      </w:r>
    </w:p>
    <w:p>
      <w:pPr>
        <w:numPr>
          <w:ilvl w:val="0"/>
          <w:numId w:val="1021"/>
        </w:numPr>
        <w:pStyle w:val="Compact"/>
      </w:pPr>
      <w:r>
        <w:rPr>
          <w:bCs/>
          <w:b/>
        </w:rPr>
        <w:t xml:space="preserve">Use Phase (approx. 84.4% of total PCF):</w:t>
      </w:r>
      <w:r>
        <w:t xml:space="preserve"> </w:t>
      </w:r>
      <w:r>
        <w:t xml:space="preserve">The electricity consumption during the 5-year product lifespan is the most significant contributor. This highlights the importance of energy efficiency and the carbon intensity of electricity grids where the product is used.</w:t>
      </w:r>
    </w:p>
    <w:p>
      <w:pPr>
        <w:numPr>
          <w:ilvl w:val="0"/>
          <w:numId w:val="1021"/>
        </w:numPr>
        <w:pStyle w:val="Compact"/>
      </w:pPr>
      <w:r>
        <w:rPr>
          <w:bCs/>
          <w:b/>
        </w:rPr>
        <w:t xml:space="preserve">Materials Acquisition (approx. 19.3% of total PCF):</w:t>
      </w:r>
      <w:r>
        <w:t xml:space="preserve"> </w:t>
      </w:r>
      <w:r>
        <w:t xml:space="preserve">Specifically, the primary aluminum casing contributes significantly due to its high emission factor.</w:t>
      </w:r>
    </w:p>
    <w:p>
      <w:pPr>
        <w:numPr>
          <w:ilvl w:val="0"/>
          <w:numId w:val="1021"/>
        </w:numPr>
        <w:pStyle w:val="Compact"/>
      </w:pPr>
      <w:r>
        <w:rPr>
          <w:bCs/>
          <w:b/>
        </w:rPr>
        <w:t xml:space="preserve">Production/Manufacturing (Scope 2, approx. 7.1% of total PCF):</w:t>
      </w:r>
      <w:r>
        <w:t xml:space="preserve"> </w:t>
      </w:r>
      <w:r>
        <w:t xml:space="preserve">While efforts are made with renewable energy, the remaining grid electricity still contributes.</w:t>
      </w:r>
    </w:p>
    <w:p>
      <w:pPr>
        <w:numPr>
          <w:ilvl w:val="0"/>
          <w:numId w:val="1021"/>
        </w:numPr>
        <w:pStyle w:val="Compact"/>
      </w:pPr>
      <w:r>
        <w:rPr>
          <w:bCs/>
          <w:b/>
        </w:rPr>
        <w:t xml:space="preserve">End-of-Life (Net Avoidance):</w:t>
      </w:r>
      <w:r>
        <w:t xml:space="preserve"> </w:t>
      </w:r>
      <w:r>
        <w:t xml:space="preserve">The high recyclability percentage and circular programs result in a net avoided emission, demonstrating a positive circular economy impact.</w:t>
      </w:r>
    </w:p>
    <w:bookmarkEnd w:id="42"/>
    <w:bookmarkStart w:id="43" w:name="reliability-and-limitations"/>
    <w:p>
      <w:pPr>
        <w:pStyle w:val="Heading3"/>
      </w:pPr>
      <w:r>
        <w:t xml:space="preserve">5.2. Reliability and Limitations</w:t>
      </w:r>
    </w:p>
    <w:p>
      <w:pPr>
        <w:pStyle w:val="FirstParagraph"/>
      </w:pPr>
      <w:r>
        <w:t xml:space="preserve">The reliability of this PCF analysis is high due to adherence to the GHG Protocol and the use of industry-standard emission factors. However, certain limitations exist:</w:t>
      </w:r>
    </w:p>
    <w:p>
      <w:pPr>
        <w:numPr>
          <w:ilvl w:val="0"/>
          <w:numId w:val="1022"/>
        </w:numPr>
        <w:pStyle w:val="Compact"/>
      </w:pPr>
      <w:r>
        <w:rPr>
          <w:bCs/>
          <w:b/>
        </w:rPr>
        <w:t xml:space="preserve">Placeholder Data:</w:t>
      </w:r>
      <w:r>
        <w:t xml:space="preserve"> </w:t>
      </w:r>
      <w:r>
        <w:t xml:space="preserve">Assumptions were made for specific input parameters (e.g., placeholder BOM details, transport distances, energy consumption) due to the nature of the request. Real-world data would enhance precision.</w:t>
      </w:r>
    </w:p>
    <w:p>
      <w:pPr>
        <w:numPr>
          <w:ilvl w:val="0"/>
          <w:numId w:val="1022"/>
        </w:numPr>
        <w:pStyle w:val="Compact"/>
      </w:pPr>
      <w:r>
        <w:rPr>
          <w:bCs/>
          <w:b/>
        </w:rPr>
        <w:t xml:space="preserve">Emission Factor Specificity:</w:t>
      </w:r>
      <w:r>
        <w:t xml:space="preserve"> </w:t>
      </w:r>
      <w:r>
        <w:t xml:space="preserve">While industry averages from Ecoinvent/DEFRA are used, highly specific, supplier-specific emission factors for materials and processes could further refine the results.</w:t>
      </w:r>
    </w:p>
    <w:p>
      <w:pPr>
        <w:numPr>
          <w:ilvl w:val="0"/>
          <w:numId w:val="1022"/>
        </w:numPr>
        <w:pStyle w:val="Compact"/>
      </w:pPr>
      <w:r>
        <w:rPr>
          <w:bCs/>
          <w:b/>
        </w:rPr>
        <w:t xml:space="preserve">Dynamic Grid Mixes:</w:t>
      </w:r>
      <w:r>
        <w:t xml:space="preserve"> </w:t>
      </w:r>
      <w:r>
        <w:t xml:space="preserve">Electricity grid emission factors can vary seasonally and geographically. Average annual factors were used, which might not capture all temporal variations.</w:t>
      </w:r>
    </w:p>
    <w:p>
      <w:pPr>
        <w:numPr>
          <w:ilvl w:val="0"/>
          <w:numId w:val="1022"/>
        </w:numPr>
        <w:pStyle w:val="Compact"/>
      </w:pPr>
      <w:r>
        <w:rPr>
          <w:bCs/>
          <w:b/>
        </w:rPr>
        <w:t xml:space="preserve">Allocation Challenges:</w:t>
      </w:r>
      <w:r>
        <w:t xml:space="preserve"> </w:t>
      </w:r>
      <w:r>
        <w:t xml:space="preserve">Allocation methods, particularly for multi-functional systems or recycling, inherently involve assumptions that can influence results.</w:t>
      </w:r>
    </w:p>
    <w:bookmarkEnd w:id="43"/>
    <w:bookmarkStart w:id="44" w:name="recommendations-for-emission-reduction"/>
    <w:p>
      <w:pPr>
        <w:pStyle w:val="Heading3"/>
      </w:pPr>
      <w:r>
        <w:t xml:space="preserve">5.3. Recommendations for Emission Reduction</w:t>
      </w:r>
    </w:p>
    <w:p>
      <w:pPr>
        <w:pStyle w:val="FirstParagraph"/>
      </w:pPr>
      <w:r>
        <w:t xml:space="preserve">To reduce the product carbon footprint of ddsgkqnrwv, vzdlkmrfhd should consider the following strategies:</w:t>
      </w:r>
    </w:p>
    <w:p>
      <w:pPr>
        <w:numPr>
          <w:ilvl w:val="0"/>
          <w:numId w:val="1023"/>
        </w:numPr>
        <w:pStyle w:val="Compact"/>
      </w:pPr>
      <w:r>
        <w:rPr>
          <w:bCs/>
          <w:b/>
        </w:rPr>
        <w:t xml:space="preserve">Optimize Use Phase Energy Efficiency:</w:t>
      </w:r>
      <w:r>
        <w:t xml:space="preserve"> </w:t>
      </w:r>
      <w:r>
        <w:t xml:space="preserve">Focus on designing ddsgkqnrwv for even lower energy consumption during its operational lifespan. Encourage customers to use renewable energy sources or provide incentives for energy-efficient usage.</w:t>
      </w:r>
    </w:p>
    <w:p>
      <w:pPr>
        <w:numPr>
          <w:ilvl w:val="0"/>
          <w:numId w:val="1023"/>
        </w:numPr>
        <w:pStyle w:val="Compact"/>
      </w:pPr>
      <w:r>
        <w:rPr>
          <w:bCs/>
          <w:b/>
        </w:rPr>
        <w:t xml:space="preserve">Material Decarbonization:</w:t>
      </w:r>
    </w:p>
    <w:p>
      <w:pPr>
        <w:numPr>
          <w:ilvl w:val="1"/>
          <w:numId w:val="1024"/>
        </w:numPr>
        <w:pStyle w:val="Compact"/>
      </w:pPr>
      <w:r>
        <w:t xml:space="preserve">Explore sourcing lower-carbon aluminum (e.g., secondary/recycled aluminum, or primary aluminum produced with renewable energy). Recycled aluminum has significantly lower emissions.</w:t>
      </w:r>
    </w:p>
    <w:p>
      <w:pPr>
        <w:numPr>
          <w:ilvl w:val="1"/>
          <w:numId w:val="1024"/>
        </w:numPr>
        <w:pStyle w:val="Compact"/>
      </w:pPr>
      <w:r>
        <w:t xml:space="preserve">Investigate alternative materials with lower inherent carbon footprints for components like the plastic housing.</w:t>
      </w:r>
    </w:p>
    <w:p>
      <w:pPr>
        <w:numPr>
          <w:ilvl w:val="0"/>
          <w:numId w:val="1023"/>
        </w:numPr>
        <w:pStyle w:val="Compact"/>
      </w:pPr>
      <w:r>
        <w:rPr>
          <w:bCs/>
          <w:b/>
        </w:rPr>
        <w:t xml:space="preserve">Increase Renewable Energy in Manufacturing:</w:t>
      </w:r>
      <w:r>
        <w:t xml:space="preserve"> </w:t>
      </w:r>
      <w:r>
        <w:t xml:space="preserve">Further increase the percentage of renewable energy used in the China-based manufacturing facility to reduce Scope 2 emissions. This could involve direct renewable energy procurement or on-site generation.</w:t>
      </w:r>
    </w:p>
    <w:p>
      <w:pPr>
        <w:numPr>
          <w:ilvl w:val="0"/>
          <w:numId w:val="1023"/>
        </w:numPr>
        <w:pStyle w:val="Compact"/>
      </w:pPr>
      <w:r>
        <w:rPr>
          <w:bCs/>
          <w:b/>
        </w:rPr>
        <w:t xml:space="preserve">Enhance Circularity:</w:t>
      </w:r>
      <w:r>
        <w:t xml:space="preserve"> </w:t>
      </w:r>
      <w:r>
        <w:t xml:space="preserve">Continue to strengthen take-back and refurbishment programs (`qjredwwwjy`) and explore design-for-disassembly to maximize recyclability beyond 70%. Collaborate with recycling partners to improve the quality and quantity of recovered materials.</w:t>
      </w:r>
    </w:p>
    <w:p>
      <w:pPr>
        <w:numPr>
          <w:ilvl w:val="0"/>
          <w:numId w:val="1023"/>
        </w:numPr>
        <w:pStyle w:val="Compact"/>
      </w:pPr>
      <w:r>
        <w:rPr>
          <w:bCs/>
          <w:b/>
        </w:rPr>
        <w:t xml:space="preserve">Supply Chain Engagement:</w:t>
      </w:r>
      <w:r>
        <w:t xml:space="preserve"> </w:t>
      </w:r>
      <w:r>
        <w:t xml:space="preserve">Work closely with upstream suppliers (especially for high-impact materials like aluminum) to encourage their decarbonization efforts and obtain primary, supplier-specific emission data.</w:t>
      </w:r>
    </w:p>
    <w:bookmarkEnd w:id="44"/>
    <w:bookmarkEnd w:id="45"/>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ddsgkqnrwv</dc:title>
  <dc:creator/>
  <dc:description>Detailed Product Carbon Footprint (PCF) analysis report for ddsgkqnrwv by nyxhmuimln, Senior Sustainability Consultant, adhering to GHG Protocol and 2026 LSR Update requirements for vzdlkmrfhd.</dc:description>
  <dc:language>en</dc:language>
  <cp:keywords/>
  <dcterms:created xsi:type="dcterms:W3CDTF">2026-07-15T05:32:43Z</dcterms:created>
  <dcterms:modified xsi:type="dcterms:W3CDTF">2026-07-15T05:32:43Z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