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AlphaGadget</w:t>
      </w:r>
      <w:r>
        <w:t xml:space="preserve"> </w:t>
      </w:r>
      <w:r>
        <w:t xml:space="preserve">X1</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t xml:space="preserve">Product: nshkhpnuvj (AlphaGadget X1)</w:t>
      </w:r>
    </w:p>
    <w:p>
      <w:pPr>
        <w:pStyle w:val="BodyText"/>
      </w:pPr>
      <w:r>
        <w:t xml:space="preserve">Company Name: imgqqogtyu (EcoSolutions Inc.)</w:t>
      </w:r>
    </w:p>
    <w:p>
      <w:pPr>
        <w:pStyle w:val="BodyText"/>
      </w:pPr>
      <w:r>
        <w:t xml:space="preserve">Accounting Standard: GHG Protocol</w:t>
      </w:r>
    </w:p>
    <w:p>
      <w:pPr>
        <w:pStyle w:val="BodyText"/>
      </w:pPr>
      <w:r>
        <w:t xml:space="preserve">Senior Sustainability Consultant: tdolsnwjqu (Dr. tdolsnwjqu)</w:t>
      </w:r>
    </w:p>
    <w:p>
      <w:pPr>
        <w:pStyle w:val="BodyText"/>
      </w:pPr>
      <w:r>
        <w:t xml:space="preserve">This report is generated based on available data and industry standards, providing an estimate of the product\'s carbon footprint. It relies on specified parameters and illustrative emission factors where specific database access is not available.</w:t>
      </w:r>
    </w:p>
    <w:bookmarkEnd w:id="20"/>
    <w:bookmarkStart w:id="21" w:name="Xc62cb1f6e57bd1d43b1a5fae43a8e2877ec5c7f"/>
    <w:p>
      <w:pPr>
        <w:pStyle w:val="Heading1"/>
      </w:pPr>
      <w:r>
        <w:t xml:space="preserve">Product Carbon Footprint (PCF) Analysis Report</w:t>
      </w:r>
    </w:p>
    <w:p>
      <w:pPr>
        <w:pStyle w:val="FirstParagraph"/>
      </w:pPr>
      <w:r>
        <w:t xml:space="preserve">Product: nshkhpnuvj (AlphaGadget X1)</w:t>
      </w:r>
    </w:p>
    <w:p>
      <w:pPr>
        <w:pStyle w:val="BodyText"/>
      </w:pPr>
      <w:r>
        <w:t xml:space="preserve">Generated Date: May 27, 2026</w:t>
      </w:r>
    </w:p>
    <w:bookmarkEnd w:id="21"/>
    <w:bookmarkStart w:id="22" w:name="executive-summary"/>
    <w:p>
      <w:pPr>
        <w:pStyle w:val="Heading2"/>
      </w:pPr>
      <w:r>
        <w:t xml:space="preserve">1. Executive Summary</w:t>
      </w:r>
    </w:p>
    <w:bookmarkEnd w:id="22"/>
    <w:p>
      <w:pPr>
        <w:pStyle w:val="FirstParagraph"/>
      </w:pPr>
      <w:r>
        <w:t xml:space="preserve">This report presents a high-detail Product Carbon Footprint (PCF) analysis for \'nshkhpnuvj\' (referred to as AlphaGadget X1), manufactured by \'imgqqogtyu\' (EcoSolutions Inc.). The analysis was conducted by \'tdolsnwjqu\' (Dr. tdolsnwjqu), a Senior Sustainability Consultant specializing in the GHG Protocol. The PCF quantifies the total greenhouse gas emissions (GHG) expressed in kilograms of carbon dioxide equivalent (kg CO2e) across the product\'s lifecycle, from raw material acquisition to end-of-life. The total cradle-to-grave carbon footprint for one unit of AlphaGadget X1 is estimated to be 24.88 kg CO2e. Key hotspots include the use phase due to electricity consumption, followed by material production. EcoSolutions Inc. demonstrates commitment to sustainability by incorporating renewable energy and considering circular economy principles.</w:t>
      </w:r>
    </w:p>
    <w:p>
      <w:r>
        <w:pict>
          <v:rect style="width:0;height:1.5pt" o:hralign="center" o:hrstd="t" o:hr="t"/>
        </w:pict>
      </w:r>
    </w:p>
    <w:bookmarkStart w:id="23" w:name="methodology-and-scope-definition"/>
    <w:p>
      <w:pPr>
        <w:pStyle w:val="Heading2"/>
      </w:pPr>
      <w:r>
        <w:t xml:space="preserve">2. Methodology and Scope Definition</w:t>
      </w:r>
    </w:p>
    <w:bookmarkEnd w:id="23"/>
    <w:p>
      <w:pPr>
        <w:pStyle w:val="FirstParagraph"/>
      </w:pPr>
      <w:r>
        <w:t xml:space="preserve">The Product Carbon Footprint (PCF) analysis adheres strictly to the GHG Protocol Product Standard, categorizing emissions into Scope 1 (direct emissions from owned or controlled sources), Scope 2 (indirect emissions from the generation of purchased energy), and Scope 3 (all other indirect emissions that occur in the value chain).</w:t>
      </w:r>
    </w:p>
    <w:bookmarkStart w:id="24"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The declared unit for this PCF is 1.0 unit of \'nshkhpnuvj\' (AlphaGadget X1). This unit serves as the reference flow to which all inputs and outputs of the product system are related.</w:t>
      </w:r>
    </w:p>
    <w:p>
      <w:pPr>
        <w:numPr>
          <w:ilvl w:val="0"/>
          <w:numId w:val="1001"/>
        </w:numPr>
        <w:pStyle w:val="Compact"/>
      </w:pPr>
      <w:r>
        <w:rPr>
          <w:bCs/>
          <w:b/>
        </w:rPr>
        <w:t xml:space="preserve">System Boundary:</w:t>
      </w:r>
      <w:r>
        <w:t xml:space="preserve"> </w:t>
      </w:r>
      <w:r>
        <w:t xml:space="preserve">The system boundary for this analysis is "cradle-to-grave". While the primary focus for the company\'s direct operations is "factory_gate" (covering raw material acquisition to the point the product leaves the factory gate), the comprehensive PCF extends to include the product\'s use phase and end-of-life scenarios as per best practice for a full product footprint.</w:t>
      </w:r>
    </w:p>
    <w:p>
      <w:pPr>
        <w:numPr>
          <w:ilvl w:val="0"/>
          <w:numId w:val="1001"/>
        </w:numPr>
        <w:pStyle w:val="Compact"/>
      </w:pPr>
      <w:r>
        <w:rPr>
          <w:bCs/>
          <w:b/>
        </w:rPr>
        <w:t xml:space="preserve">Geographic Scope:</w:t>
      </w:r>
    </w:p>
    <w:p>
      <w:pPr>
        <w:numPr>
          <w:ilvl w:val="1"/>
          <w:numId w:val="1002"/>
        </w:numPr>
        <w:pStyle w:val="Compact"/>
      </w:pPr>
      <w:r>
        <w:t xml:space="preserve">Final Production Country: China</w:t>
      </w:r>
    </w:p>
    <w:p>
      <w:pPr>
        <w:numPr>
          <w:ilvl w:val="1"/>
          <w:numId w:val="1002"/>
        </w:numPr>
        <w:pStyle w:val="Compact"/>
      </w:pPr>
      <w:r>
        <w:t xml:space="preserve">Supply Chain Focus: Europe Focused</w:t>
      </w:r>
    </w:p>
    <w:p>
      <w:pPr>
        <w:numPr>
          <w:ilvl w:val="0"/>
          <w:numId w:val="1001"/>
        </w:numPr>
        <w:pStyle w:val="Compact"/>
      </w:pPr>
      <w:r>
        <w:rPr>
          <w:bCs/>
          <w:b/>
        </w:rPr>
        <w:t xml:space="preserve">Accounting Standard:</w:t>
      </w:r>
      <w:r>
        <w:t xml:space="preserve"> </w:t>
      </w:r>
      <w:r>
        <w:t xml:space="preserve">Greenhouse Gas Protocol (GHG Protocol).</w:t>
      </w:r>
    </w:p>
    <w:p>
      <w:pPr>
        <w:numPr>
          <w:ilvl w:val="0"/>
          <w:numId w:val="1001"/>
        </w:numPr>
        <w:pStyle w:val="Compact"/>
      </w:pPr>
      <w:r>
        <w:rPr>
          <w:bCs/>
          <w:b/>
        </w:rPr>
        <w:t xml:space="preserve">Allocation:</w:t>
      </w:r>
      <w:r>
        <w:t xml:space="preserve"> </w:t>
      </w:r>
      <w:r>
        <w:t xml:space="preserve">Where co-products or multi-functional processes exist, allocation has been applied primarily on a mass basis. Specific complex allocation scenarios are not detailed due to the nature of the provided input parameters but are acknowledged within the GHG Protocol framework.</w:t>
      </w:r>
    </w:p>
    <w:bookmarkEnd w:id="24"/>
    <w:bookmarkStart w:id="25" w:name="map-lifecycle-inventory-stages-lci"/>
    <w:p>
      <w:pPr>
        <w:pStyle w:val="Heading3"/>
      </w:pPr>
      <w:r>
        <w:t xml:space="preserve">2.2. Map Lifecycle Inventory Stages (LCI)</w:t>
      </w:r>
    </w:p>
    <w:p>
      <w:pPr>
        <w:pStyle w:val="FirstParagraph"/>
      </w:pPr>
      <w:r>
        <w:t xml:space="preserve">The lifecycle of AlphaGadget X1 is mapped across the following stages, encompassing a cradle-to-grave perspective:</w:t>
      </w:r>
    </w:p>
    <w:p>
      <w:pPr>
        <w:numPr>
          <w:ilvl w:val="0"/>
          <w:numId w:val="1003"/>
        </w:numPr>
        <w:pStyle w:val="Compact"/>
      </w:pPr>
      <w:r>
        <w:rPr>
          <w:bCs/>
          <w:b/>
        </w:rPr>
        <w:t xml:space="preserve">Material Acquisition &amp; Pre-processing:</w:t>
      </w:r>
      <w:r>
        <w:t xml:space="preserve"> </w:t>
      </w:r>
      <w:r>
        <w:t xml:space="preserve">Extraction, cultivation, and processing of raw materials.</w:t>
      </w:r>
    </w:p>
    <w:p>
      <w:pPr>
        <w:numPr>
          <w:ilvl w:val="0"/>
          <w:numId w:val="1003"/>
        </w:numPr>
        <w:pStyle w:val="Compact"/>
      </w:pPr>
      <w:r>
        <w:rPr>
          <w:bCs/>
          <w:b/>
        </w:rPr>
        <w:t xml:space="preserve">Manufacturing:</w:t>
      </w:r>
      <w:r>
        <w:t xml:space="preserve"> </w:t>
      </w:r>
      <w:r>
        <w:t xml:space="preserve">Production and assembly of components into the final product.</w:t>
      </w:r>
    </w:p>
    <w:p>
      <w:pPr>
        <w:numPr>
          <w:ilvl w:val="0"/>
          <w:numId w:val="1003"/>
        </w:numPr>
        <w:pStyle w:val="Compact"/>
      </w:pPr>
      <w:r>
        <w:rPr>
          <w:bCs/>
          <w:b/>
        </w:rPr>
        <w:t xml:space="preserve">Transport &amp; Distribution:</w:t>
      </w:r>
      <w:r>
        <w:t xml:space="preserve"> </w:t>
      </w:r>
      <w:r>
        <w:t xml:space="preserve">Logistics of raw materials to the factory, and finished product from the factory to the end-consumer.</w:t>
      </w:r>
    </w:p>
    <w:p>
      <w:pPr>
        <w:numPr>
          <w:ilvl w:val="0"/>
          <w:numId w:val="1003"/>
        </w:numPr>
        <w:pStyle w:val="Compact"/>
      </w:pPr>
      <w:r>
        <w:rPr>
          <w:bCs/>
          <w:b/>
        </w:rPr>
        <w:t xml:space="preserve">Use Phase:</w:t>
      </w:r>
      <w:r>
        <w:t xml:space="preserve"> </w:t>
      </w:r>
      <w:r>
        <w:t xml:space="preserve">Energy consumption during the product\'s operational lifespan.</w:t>
      </w:r>
    </w:p>
    <w:p>
      <w:pPr>
        <w:numPr>
          <w:ilvl w:val="0"/>
          <w:numId w:val="1003"/>
        </w:numPr>
        <w:pStyle w:val="Compact"/>
      </w:pPr>
      <w:r>
        <w:rPr>
          <w:bCs/>
          <w:b/>
        </w:rPr>
        <w:t xml:space="preserve">End-of-Life (EoL):</w:t>
      </w:r>
      <w:r>
        <w:t xml:space="preserve"> </w:t>
      </w:r>
      <w:r>
        <w:t xml:space="preserve">Disposal, recycling, or reuse of the product components.</w:t>
      </w:r>
    </w:p>
    <w:bookmarkEnd w:id="25"/>
    <w:bookmarkStart w:id="31" w:name="Xb57f50a89bf1f3f1837369be949d9d60d6c1272"/>
    <w:p>
      <w:pPr>
        <w:pStyle w:val="Heading3"/>
      </w:pPr>
      <w:r>
        <w:t xml:space="preserve">2.3. Collect Data (Primary/Secondary Data Points)</w:t>
      </w:r>
    </w:p>
    <w:p>
      <w:pPr>
        <w:pStyle w:val="FirstParagraph"/>
      </w:pPr>
      <w:r>
        <w:t xml:space="preserve">Data collection involved utilizing the provided primary data parameters and supplementing with secondary data (illustrative emission factors) from commonly referenced industry databases (e.g., Ecoinvent, DEFRA) where specific factors were not provided.</w:t>
      </w:r>
    </w:p>
    <w:bookmarkStart w:id="26" w:name="Xdb76b2d18439e883557fe13a9192a6b35868d17"/>
    <w:p>
      <w:pPr>
        <w:pStyle w:val="Heading4"/>
      </w:pPr>
      <w:r>
        <w:t xml:space="preserve">Detailed Bill of Materials (BOM) for nshkhpnuvj (AlphaGadget X1)</w:t>
      </w:r>
    </w:p>
    <w:p>
      <w:pPr>
        <w:pStyle w:val="FirstParagraph"/>
      </w:pPr>
      <w:r>
        <w:t xml:space="preserve">The following Bill of Materials (`pylnuvpj`) was used for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M002</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10.0</w:t>
            </w:r>
          </w:p>
        </w:tc>
        <w:tc>
          <w:tcPr/>
          <w:p>
            <w:pPr>
              <w:pStyle w:val="Compact"/>
              <w:jc w:val="left"/>
            </w:pPr>
            <w:r>
              <w:t xml:space="preserve">2.00</w:t>
            </w:r>
          </w:p>
        </w:tc>
      </w:tr>
      <w:tr>
        <w:tc>
          <w:tcPr/>
          <w:p>
            <w:pPr>
              <w:pStyle w:val="Compact"/>
              <w:jc w:val="left"/>
            </w:pPr>
            <w:r>
              <w:t xml:space="preserve">M003</w:t>
            </w:r>
          </w:p>
        </w:tc>
        <w:tc>
          <w:tcPr/>
          <w:p>
            <w:pPr>
              <w:pStyle w:val="Compact"/>
              <w:jc w:val="left"/>
            </w:pPr>
            <w:r>
              <w:t xml:space="preserve">PCB with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M004</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Cell 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20.0</w:t>
            </w:r>
          </w:p>
        </w:tc>
        <w:tc>
          <w:tcPr/>
          <w:p>
            <w:pPr>
              <w:pStyle w:val="Compact"/>
              <w:jc w:val="left"/>
            </w:pPr>
            <w:r>
              <w:t xml:space="preserve">1.00</w:t>
            </w:r>
          </w:p>
        </w:tc>
      </w:tr>
      <w:tr>
        <w:tc>
          <w:tcPr/>
          <w:p>
            <w:pPr>
              <w:pStyle w:val="Compact"/>
              <w:jc w:val="left"/>
            </w:pPr>
            <w:r>
              <w:t xml:space="preserve">M005</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0.5</w:t>
            </w:r>
          </w:p>
        </w:tc>
        <w:tc>
          <w:tcPr/>
          <w:p>
            <w:pPr>
              <w:pStyle w:val="Compact"/>
              <w:jc w:val="left"/>
            </w:pPr>
            <w:r>
              <w:t xml:space="preserve">0.05</w:t>
            </w:r>
          </w:p>
        </w:tc>
      </w:tr>
      <w:tr>
        <w:tc>
          <w:tcPr>
            <w:gridSpan w:val="7"/>
          </w:tcPr>
          <w:p>
            <w:pPr>
              <w:pStyle w:val="Compact"/>
              <w:jc w:val="right"/>
            </w:pPr>
            <w:r>
              <w:t xml:space="preserve">Total Material Emissions:</w:t>
            </w:r>
          </w:p>
        </w:tc>
        <w:tc>
          <w:tcPr/>
          <w:p>
            <w:pPr>
              <w:pStyle w:val="Compact"/>
              <w:jc w:val="left"/>
            </w:pPr>
            <w:r>
              <w:t xml:space="preserve">5.80</w:t>
            </w:r>
          </w:p>
        </w:tc>
      </w:tr>
    </w:tbl>
    <w:bookmarkEnd w:id="26"/>
    <w:bookmarkStart w:id="27" w:name="energy-inputs-for-production"/>
    <w:p>
      <w:pPr>
        <w:pStyle w:val="Heading4"/>
      </w:pPr>
      <w:r>
        <w:t xml:space="preserve">Energy Inputs for Production</w:t>
      </w:r>
    </w:p>
    <w:p>
      <w:pPr>
        <w:numPr>
          <w:ilvl w:val="0"/>
          <w:numId w:val="1004"/>
        </w:numPr>
        <w:pStyle w:val="Compact"/>
      </w:pPr>
      <w:r>
        <w:t xml:space="preserve">Renewable Energy Usage (`lglefgmriq`): 50%</w:t>
      </w:r>
    </w:p>
    <w:p>
      <w:pPr>
        <w:numPr>
          <w:ilvl w:val="0"/>
          <w:numId w:val="1004"/>
        </w:numPr>
        <w:pStyle w:val="Compact"/>
      </w:pPr>
      <w:r>
        <w:t xml:space="preserve">Energy Intensity (`mwtndglhel`): 2.5 kWh/unit</w:t>
      </w:r>
    </w:p>
    <w:p>
      <w:pPr>
        <w:numPr>
          <w:ilvl w:val="0"/>
          <w:numId w:val="1004"/>
        </w:numPr>
        <w:pStyle w:val="Compact"/>
      </w:pPr>
      <w:r>
        <w:t xml:space="preserve">Illustrative Grid Electricity Emission Factor (China): 0.6 kgCO2e/kWh</w:t>
      </w:r>
    </w:p>
    <w:p>
      <w:pPr>
        <w:numPr>
          <w:ilvl w:val="0"/>
          <w:numId w:val="1004"/>
        </w:numPr>
        <w:pStyle w:val="Compact"/>
      </w:pPr>
      <w:r>
        <w:t xml:space="preserve">Illustrative Renewable Electricity Emission Factor: 0.02 kgCO2e/kWh</w:t>
      </w:r>
    </w:p>
    <w:bookmarkEnd w:id="27"/>
    <w:bookmarkStart w:id="28" w:name="logistics-data"/>
    <w:p>
      <w:pPr>
        <w:pStyle w:val="Heading4"/>
      </w:pPr>
      <w:r>
        <w:t xml:space="preserve">Logistics Data</w:t>
      </w:r>
    </w:p>
    <w:p>
      <w:pPr>
        <w:numPr>
          <w:ilvl w:val="0"/>
          <w:numId w:val="1005"/>
        </w:numPr>
        <w:pStyle w:val="Compact"/>
      </w:pPr>
      <w:r>
        <w:t xml:space="preserve">Transport Mode (`Select Mode`): Road Freight (Lorry &gt;16t, Euro VI)</w:t>
      </w:r>
    </w:p>
    <w:p>
      <w:pPr>
        <w:numPr>
          <w:ilvl w:val="0"/>
          <w:numId w:val="1005"/>
        </w:numPr>
        <w:pStyle w:val="Compact"/>
      </w:pPr>
      <w:r>
        <w:t xml:space="preserve">Transport Distance (`twrwqzwzdu`): 1500 km (for finished product from factory to Europe distribution hub)</w:t>
      </w:r>
    </w:p>
    <w:p>
      <w:pPr>
        <w:numPr>
          <w:ilvl w:val="0"/>
          <w:numId w:val="1005"/>
        </w:numPr>
        <w:pStyle w:val="Compact"/>
      </w:pPr>
      <w:r>
        <w:t xml:space="preserve">Last-Mile Delivery Channel (`Delivery Type`): Light Commercial Vehicle (Courier Van)</w:t>
      </w:r>
    </w:p>
    <w:p>
      <w:pPr>
        <w:numPr>
          <w:ilvl w:val="0"/>
          <w:numId w:val="1005"/>
        </w:numPr>
        <w:pStyle w:val="Compact"/>
      </w:pPr>
      <w:r>
        <w:t xml:space="preserve">Illustrative Road Freight Emission Factor: 0.08 kgCO2e/tonne-km</w:t>
      </w:r>
    </w:p>
    <w:p>
      <w:pPr>
        <w:numPr>
          <w:ilvl w:val="0"/>
          <w:numId w:val="1005"/>
        </w:numPr>
        <w:pStyle w:val="Compact"/>
      </w:pPr>
      <w:r>
        <w:t xml:space="preserve">Illustrative Light Commercial Vehicle Emission Factor: 0.2 kgCO2e/tonne-km</w:t>
      </w:r>
    </w:p>
    <w:p>
      <w:pPr>
        <w:numPr>
          <w:ilvl w:val="0"/>
          <w:numId w:val="1005"/>
        </w:numPr>
        <w:pStyle w:val="Compact"/>
      </w:pPr>
      <w:r>
        <w:t xml:space="preserve">Illustrative Upstream Transport (materials to factory): 0.95 kg product weight * 500 km * 0.08 kgCO2e/tonne-km = 0.038 kgCO2e</w:t>
      </w:r>
    </w:p>
    <w:p>
      <w:pPr>
        <w:numPr>
          <w:ilvl w:val="0"/>
          <w:numId w:val="1005"/>
        </w:numPr>
        <w:pStyle w:val="Compact"/>
      </w:pPr>
      <w:r>
        <w:t xml:space="preserve">Total Product Weight for Transport: 0.95 kg</w:t>
      </w:r>
    </w:p>
    <w:bookmarkEnd w:id="28"/>
    <w:bookmarkStart w:id="29" w:name="use-phase-data"/>
    <w:p>
      <w:pPr>
        <w:pStyle w:val="Heading4"/>
      </w:pPr>
      <w:r>
        <w:t xml:space="preserve">Use Phase Data</w:t>
      </w:r>
    </w:p>
    <w:p>
      <w:pPr>
        <w:numPr>
          <w:ilvl w:val="0"/>
          <w:numId w:val="1006"/>
        </w:numPr>
        <w:pStyle w:val="Compact"/>
      </w:pPr>
      <w:r>
        <w:t xml:space="preserve">Product Lifespan (`ymjeehvwgt`): 5 years</w:t>
      </w:r>
    </w:p>
    <w:p>
      <w:pPr>
        <w:numPr>
          <w:ilvl w:val="0"/>
          <w:numId w:val="1006"/>
        </w:numPr>
        <w:pStyle w:val="Compact"/>
      </w:pPr>
      <w:r>
        <w:t xml:space="preserve">Energy Consumption in Use (`nfhyhlzxje`): 10 kWh/year</w:t>
      </w:r>
    </w:p>
    <w:p>
      <w:pPr>
        <w:numPr>
          <w:ilvl w:val="0"/>
          <w:numId w:val="1006"/>
        </w:numPr>
        <w:pStyle w:val="Compact"/>
      </w:pPr>
      <w:r>
        <w:t xml:space="preserve">Illustrative Average User Grid Electricity Emission Factor: 0.4 kgCO2e/kWh</w:t>
      </w:r>
    </w:p>
    <w:bookmarkEnd w:id="29"/>
    <w:bookmarkStart w:id="30" w:name="end-of-life-eol-scenarios"/>
    <w:p>
      <w:pPr>
        <w:pStyle w:val="Heading4"/>
      </w:pPr>
      <w:r>
        <w:t xml:space="preserve">End-of-Life (EoL) Scenarios</w:t>
      </w:r>
    </w:p>
    <w:p>
      <w:pPr>
        <w:numPr>
          <w:ilvl w:val="0"/>
          <w:numId w:val="1007"/>
        </w:numPr>
        <w:pStyle w:val="Compact"/>
      </w:pPr>
      <w:r>
        <w:t xml:space="preserve">Recyclability Percentage (`rqpdzhzpqv`): 70%</w:t>
      </w:r>
    </w:p>
    <w:p>
      <w:pPr>
        <w:numPr>
          <w:ilvl w:val="0"/>
          <w:numId w:val="1007"/>
        </w:numPr>
        <w:pStyle w:val="Compact"/>
      </w:pPr>
      <w:r>
        <w:t xml:space="preserve">Circular/Take-back Programs (`wmqoormdel`): imgqqogtyu offers a limited take-back program for end-of-life products, which facilitates the higher recyclability rate.</w:t>
      </w:r>
    </w:p>
    <w:p>
      <w:pPr>
        <w:numPr>
          <w:ilvl w:val="0"/>
          <w:numId w:val="1007"/>
        </w:numPr>
        <w:pStyle w:val="Compact"/>
      </w:pPr>
      <w:r>
        <w:t xml:space="preserve">Illustrative Landfill/Incineration Emission Factor: 0.5 kgCO2e/kg</w:t>
      </w:r>
    </w:p>
    <w:p>
      <w:pPr>
        <w:numPr>
          <w:ilvl w:val="0"/>
          <w:numId w:val="1007"/>
        </w:numPr>
        <w:pStyle w:val="Compact"/>
      </w:pPr>
      <w:r>
        <w:t xml:space="preserve">Illustrative Recycling Credit (avoided emissions): -3 kgCO2e/kg (average for mixed materials)</w:t>
      </w:r>
    </w:p>
    <w:p>
      <w:pPr>
        <w:pStyle w:val="FirstParagraph"/>
      </w:pPr>
      <w:r>
        <w:rPr>
          <w:iCs/>
          <w:i/>
        </w:rPr>
        <w:t xml:space="preserve">Note on Emission Factors:</w:t>
      </w:r>
      <w:r>
        <w:t xml:space="preserve"> </w:t>
      </w:r>
      <w:r>
        <w:t xml:space="preserve">Due to the lack of access to specific licensed databases (e.g., latest Ecoinvent or DEFRA versions), illustrative, yet plausible, emission factors have been used for calculation purposes. These factors are based on general industry averages and should be replaced with precise, verifiable data from specific regions and processes for higher accuracy.</w:t>
      </w:r>
    </w:p>
    <w:p>
      <w:r>
        <w:pict>
          <v:rect style="width:0;height:1.5pt" o:hralign="center" o:hrstd="t" o:hr="t"/>
        </w:pict>
      </w:r>
    </w:p>
    <w:bookmarkEnd w:id="30"/>
    <w:bookmarkEnd w:id="31"/>
    <w:bookmarkStart w:id="32" w:name="X439a6e6dcb43c636bf515ffaf3f59bce0bd6490"/>
    <w:p>
      <w:pPr>
        <w:pStyle w:val="Heading2"/>
      </w:pPr>
      <w:r>
        <w:t xml:space="preserve">3. Emission Calculation (Activity * Emission Factor = CO2e)</w:t>
      </w:r>
    </w:p>
    <w:bookmarkEnd w:id="32"/>
    <w:p>
      <w:pPr>
        <w:pStyle w:val="FirstParagraph"/>
      </w:pPr>
      <w:r>
        <w:t xml:space="preserve">Emissions are calculated for each stage of the product lifecycle and categorized according to the GHG Protocol scopes. All results are expressed in kilograms of CO2 equivalent (kg CO2e).</w:t>
      </w:r>
    </w:p>
    <w:bookmarkStart w:id="33" w:name="X8317c4a6c47c989390d88da08ad9c789604eb9b"/>
    <w:p>
      <w:pPr>
        <w:pStyle w:val="Heading3"/>
      </w:pPr>
      <w:r>
        <w:t xml:space="preserve">3.1. Material Acquisition &amp; Pre-processing Emissions (Scope 3 - Upstream)</w:t>
      </w:r>
    </w:p>
    <w:p>
      <w:pPr>
        <w:pStyle w:val="FirstParagraph"/>
      </w:pPr>
      <w:r>
        <w:t xml:space="preserve">Based on the Detailed Bill of Materials (`pylnuvpj`) provided, the total emissions from raw material acquisition and pre-processing are:</w:t>
      </w:r>
    </w:p>
    <w:p>
      <w:pPr>
        <w:numPr>
          <w:ilvl w:val="0"/>
          <w:numId w:val="1008"/>
        </w:numPr>
        <w:pStyle w:val="Compact"/>
      </w:pPr>
      <w:r>
        <w:t xml:space="preserve">Total Material Emissions: 5.80 kgCO2e</w:t>
      </w:r>
    </w:p>
    <w:bookmarkEnd w:id="33"/>
    <w:bookmarkStart w:id="34" w:name="manufacturing-emissions-scope-2"/>
    <w:p>
      <w:pPr>
        <w:pStyle w:val="Heading3"/>
      </w:pPr>
      <w:r>
        <w:t xml:space="preserve">3.2. Manufacturing Emissions (Scope 2)</w:t>
      </w:r>
    </w:p>
    <w:p>
      <w:pPr>
        <w:pStyle w:val="FirstParagraph"/>
      </w:pPr>
      <w:r>
        <w:t xml:space="preserve">The manufacturing process consumes energy, with a portion sourced from renewable energy. The calculation is as follows:</w:t>
      </w:r>
    </w:p>
    <w:p>
      <w:pPr>
        <w:numPr>
          <w:ilvl w:val="0"/>
          <w:numId w:val="1009"/>
        </w:numPr>
        <w:pStyle w:val="Compact"/>
      </w:pPr>
      <w:r>
        <w:t xml:space="preserve">Total Energy Consumption: 2.5 kWh/unit</w:t>
      </w:r>
    </w:p>
    <w:p>
      <w:pPr>
        <w:numPr>
          <w:ilvl w:val="0"/>
          <w:numId w:val="1009"/>
        </w:numPr>
        <w:pStyle w:val="Compact"/>
      </w:pPr>
      <w:r>
        <w:t xml:space="preserve">Renewable Energy Portion: 2.5 kWh * 50% = 1.25 kWh</w:t>
      </w:r>
    </w:p>
    <w:p>
      <w:pPr>
        <w:numPr>
          <w:ilvl w:val="0"/>
          <w:numId w:val="1009"/>
        </w:numPr>
        <w:pStyle w:val="Compact"/>
      </w:pPr>
      <w:r>
        <w:t xml:space="preserve">Grid Electricity Portion: 2.5 kWh * (1 - 50%) = 1.25 kWh</w:t>
      </w:r>
    </w:p>
    <w:p>
      <w:pPr>
        <w:numPr>
          <w:ilvl w:val="0"/>
          <w:numId w:val="1009"/>
        </w:numPr>
        <w:pStyle w:val="Compact"/>
      </w:pPr>
      <w:r>
        <w:t xml:space="preserve">Emissions from Renewable Energy: 1.25 kWh * 0.02 kgCO2e/kWh = 0.025 kgCO2e</w:t>
      </w:r>
    </w:p>
    <w:p>
      <w:pPr>
        <w:numPr>
          <w:ilvl w:val="0"/>
          <w:numId w:val="1009"/>
        </w:numPr>
        <w:pStyle w:val="Compact"/>
      </w:pPr>
      <w:r>
        <w:t xml:space="preserve">Emissions from Grid Electricity (China): 1.25 kWh * 0.6 kgCO2e/kWh = 0.75 kgCO2e</w:t>
      </w:r>
    </w:p>
    <w:p>
      <w:pPr>
        <w:numPr>
          <w:ilvl w:val="0"/>
          <w:numId w:val="1009"/>
        </w:numPr>
        <w:pStyle w:val="Compact"/>
      </w:pPr>
      <w:r>
        <w:rPr>
          <w:bCs/>
          <w:b/>
        </w:rPr>
        <w:t xml:space="preserve">Total Manufacturing Emissions: 0.025 + 0.75 = 0.775 kgCO2e</w:t>
      </w:r>
    </w:p>
    <w:bookmarkEnd w:id="34"/>
    <w:bookmarkStart w:id="35" w:name="X8e556ac3aeb2ac03cc05e32454830dd898fce12"/>
    <w:p>
      <w:pPr>
        <w:pStyle w:val="Heading3"/>
      </w:pPr>
      <w:r>
        <w:t xml:space="preserve">3.3. Transport &amp; Distribution Emissions (Scope 3 - Upstream &amp; Downstream)</w:t>
      </w:r>
    </w:p>
    <w:p>
      <w:pPr>
        <w:pStyle w:val="FirstParagraph"/>
      </w:pPr>
      <w:r>
        <w:t xml:space="preserve">Transport emissions are calculated for both upstream (materials to factory) and downstream (finished product to consumer) logistics. The total product weight is approximately 0.95 kg.</w:t>
      </w:r>
    </w:p>
    <w:p>
      <w:pPr>
        <w:numPr>
          <w:ilvl w:val="0"/>
          <w:numId w:val="1010"/>
        </w:numPr>
        <w:pStyle w:val="Compact"/>
      </w:pPr>
      <w:r>
        <w:t xml:space="preserve">Upstream Transport (materials to factory in China, illustrative): 0.95 kg * (1 tonne / 1000 kg) * 500 km * 0.08 kgCO2e/tonne-km = 0.038 kgCO2e</w:t>
      </w:r>
    </w:p>
    <w:p>
      <w:pPr>
        <w:numPr>
          <w:ilvl w:val="0"/>
          <w:numId w:val="1010"/>
        </w:numPr>
        <w:pStyle w:val="Compact"/>
      </w:pPr>
      <w:r>
        <w:t xml:space="preserve">Downstream Transport (Factory in China to Europe distribution hub, `twrwqzwzdu`): 0.95 kg * (1 tonne / 1000 kg) * 1500 km * 0.08 kgCO2e/tonne-km = 0.114 kgCO2e</w:t>
      </w:r>
    </w:p>
    <w:p>
      <w:pPr>
        <w:numPr>
          <w:ilvl w:val="0"/>
          <w:numId w:val="1010"/>
        </w:numPr>
        <w:pStyle w:val="Compact"/>
      </w:pPr>
      <w:r>
        <w:t xml:space="preserve">Last-Mile Delivery (`Delivery Type` - Courier Van, illustrative 50 km): 0.95 kg * (1 tonne / 1000 kg) * 50 km * 0.2 kgCO2e/tonne-km = 0.0095 kgCO2e</w:t>
      </w:r>
    </w:p>
    <w:p>
      <w:pPr>
        <w:numPr>
          <w:ilvl w:val="0"/>
          <w:numId w:val="1010"/>
        </w:numPr>
        <w:pStyle w:val="Compact"/>
      </w:pPr>
      <w:r>
        <w:rPr>
          <w:bCs/>
          <w:b/>
        </w:rPr>
        <w:t xml:space="preserve">Total Transport Emissions: 0.038 + 0.114 + 0.0095 = 0.1615 kgCO2e</w:t>
      </w:r>
    </w:p>
    <w:bookmarkEnd w:id="35"/>
    <w:bookmarkStart w:id="36" w:name="use-phase-emissions-scope-3---downstream"/>
    <w:p>
      <w:pPr>
        <w:pStyle w:val="Heading3"/>
      </w:pPr>
      <w:r>
        <w:t xml:space="preserve">3.4. Use Phase Emissions (Scope 3 - Downstream)</w:t>
      </w:r>
    </w:p>
    <w:p>
      <w:pPr>
        <w:pStyle w:val="FirstParagraph"/>
      </w:pPr>
      <w:r>
        <w:t xml:space="preserve">The energy consumption during the product\'s lifespan contributes significantly to its footprint.</w:t>
      </w:r>
    </w:p>
    <w:p>
      <w:pPr>
        <w:numPr>
          <w:ilvl w:val="0"/>
          <w:numId w:val="1011"/>
        </w:numPr>
        <w:pStyle w:val="Compact"/>
      </w:pPr>
      <w:r>
        <w:t xml:space="preserve">Annual Energy Consumption: 10 kWh/year</w:t>
      </w:r>
    </w:p>
    <w:p>
      <w:pPr>
        <w:numPr>
          <w:ilvl w:val="0"/>
          <w:numId w:val="1011"/>
        </w:numPr>
        <w:pStyle w:val="Compact"/>
      </w:pPr>
      <w:r>
        <w:t xml:space="preserve">Product Lifespan: 5 years</w:t>
      </w:r>
    </w:p>
    <w:p>
      <w:pPr>
        <w:numPr>
          <w:ilvl w:val="0"/>
          <w:numId w:val="1011"/>
        </w:numPr>
        <w:pStyle w:val="Compact"/>
      </w:pPr>
      <w:r>
        <w:t xml:space="preserve">Total Use Phase Energy: 10 kWh/year * 5 years = 50 kWh</w:t>
      </w:r>
    </w:p>
    <w:p>
      <w:pPr>
        <w:numPr>
          <w:ilvl w:val="0"/>
          <w:numId w:val="1011"/>
        </w:numPr>
        <w:pStyle w:val="Compact"/>
      </w:pPr>
      <w:r>
        <w:t xml:space="preserve">Use Phase Emissions (assuming average user grid mix): 50 kWh * 0.4 kgCO2e/kWh = 20.00 kgCO2e</w:t>
      </w:r>
    </w:p>
    <w:p>
      <w:pPr>
        <w:numPr>
          <w:ilvl w:val="0"/>
          <w:numId w:val="1011"/>
        </w:numPr>
        <w:pStyle w:val="Compact"/>
      </w:pPr>
      <w:r>
        <w:rPr>
          <w:bCs/>
          <w:b/>
        </w:rPr>
        <w:t xml:space="preserve">Total Use Phase Emissions: 20.00 kgCO2e</w:t>
      </w:r>
    </w:p>
    <w:bookmarkEnd w:id="36"/>
    <w:bookmarkStart w:id="37" w:name="Xd9e5ad5ea4c3b87eccc24965f3c36828e2add2d"/>
    <w:p>
      <w:pPr>
        <w:pStyle w:val="Heading3"/>
      </w:pPr>
      <w:r>
        <w:t xml:space="preserve">3.5. End-of-Life (EoL) Emissions (Scope 3 - Downstream)</w:t>
      </w:r>
    </w:p>
    <w:p>
      <w:pPr>
        <w:pStyle w:val="FirstParagraph"/>
      </w:pPr>
      <w:r>
        <w:t xml:space="preserve">The end-of-life scenario considers both disposal and recycling benefits.</w:t>
      </w:r>
    </w:p>
    <w:p>
      <w:pPr>
        <w:numPr>
          <w:ilvl w:val="0"/>
          <w:numId w:val="1012"/>
        </w:numPr>
        <w:pStyle w:val="Compact"/>
      </w:pPr>
      <w:r>
        <w:t xml:space="preserve">Product Weight at EoL: 0.95 kg</w:t>
      </w:r>
    </w:p>
    <w:p>
      <w:pPr>
        <w:numPr>
          <w:ilvl w:val="0"/>
          <w:numId w:val="1012"/>
        </w:numPr>
        <w:pStyle w:val="Compact"/>
      </w:pPr>
      <w:r>
        <w:t xml:space="preserve">Recycled Portion: 0.95 kg * 70% = 0.665 kg</w:t>
      </w:r>
    </w:p>
    <w:p>
      <w:pPr>
        <w:numPr>
          <w:ilvl w:val="0"/>
          <w:numId w:val="1012"/>
        </w:numPr>
        <w:pStyle w:val="Compact"/>
      </w:pPr>
      <w:r>
        <w:t xml:space="preserve">Disposed Portion (Landfill/Incineration): 0.95 kg * (1 - 70%) = 0.285 kg</w:t>
      </w:r>
    </w:p>
    <w:p>
      <w:pPr>
        <w:numPr>
          <w:ilvl w:val="0"/>
          <w:numId w:val="1012"/>
        </w:numPr>
        <w:pStyle w:val="Compact"/>
      </w:pPr>
      <w:r>
        <w:t xml:space="preserve">Recycling Avoided Emissions (Credit): 0.665 kg * -3 kgCO2e/kg = -1.995 kgCO2e</w:t>
      </w:r>
    </w:p>
    <w:p>
      <w:pPr>
        <w:numPr>
          <w:ilvl w:val="0"/>
          <w:numId w:val="1012"/>
        </w:numPr>
        <w:pStyle w:val="Compact"/>
      </w:pPr>
      <w:r>
        <w:t xml:space="preserve">Disposal Emissions: 0.285 kg * 0.5 kgCO2e/kg = 0.1425 kgCO2e</w:t>
      </w:r>
    </w:p>
    <w:p>
      <w:pPr>
        <w:numPr>
          <w:ilvl w:val="0"/>
          <w:numId w:val="1012"/>
        </w:numPr>
        <w:pStyle w:val="Compact"/>
      </w:pPr>
      <w:r>
        <w:rPr>
          <w:bCs/>
          <w:b/>
        </w:rPr>
        <w:t xml:space="preserve">Total End-of-Life Emissions: -1.995 + 0.1425 = -1.8525 kgCO2e</w:t>
      </w:r>
    </w:p>
    <w:p>
      <w:r>
        <w:pict>
          <v:rect style="width:0;height:1.5pt" o:hralign="center" o:hrstd="t" o:hr="t"/>
        </w:pict>
      </w:r>
    </w:p>
    <w:bookmarkEnd w:id="37"/>
    <w:bookmarkStart w:id="38" w:name="Xcf3a8c165e60b7408e16a5fabf35122b63431af"/>
    <w:p>
      <w:pPr>
        <w:pStyle w:val="Heading2"/>
      </w:pPr>
      <w:r>
        <w:t xml:space="preserve">4. Overall PCF Summary and Scope Categorization</w:t>
      </w:r>
    </w:p>
    <w:bookmarkEnd w:id="38"/>
    <w:bookmarkStart w:id="39" w:name="X3d3d217f0ee7c86b724d4f6e81b957af4cd012f"/>
    <w:p>
      <w:pPr>
        <w:pStyle w:val="Heading3"/>
      </w:pPr>
      <w:r>
        <w:t xml:space="preserve">4.1. Total Product Carbon Footprint for nshkhpnuvj (AlphaGadget X1)</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Emissions (kgCO2e)</w:t>
            </w:r>
          </w:p>
        </w:tc>
        <w:tc>
          <w:tcPr/>
          <w:p>
            <w:pPr>
              <w:pStyle w:val="Compact"/>
              <w:jc w:val="left"/>
            </w:pPr>
            <w:r>
              <w:t xml:space="preserve">GHG Scope</w:t>
            </w:r>
          </w:p>
        </w:tc>
      </w:tr>
      <w:tr>
        <w:tc>
          <w:tcPr/>
          <w:p>
            <w:pPr>
              <w:pStyle w:val="Compact"/>
              <w:jc w:val="left"/>
            </w:pPr>
            <w:r>
              <w:t xml:space="preserve">Material Acquisition &amp; Pre-processing</w:t>
            </w:r>
          </w:p>
        </w:tc>
        <w:tc>
          <w:tcPr/>
          <w:p>
            <w:pPr>
              <w:pStyle w:val="Compact"/>
              <w:jc w:val="left"/>
            </w:pPr>
            <w:r>
              <w:t xml:space="preserve">5.8000</w:t>
            </w:r>
          </w:p>
        </w:tc>
        <w:tc>
          <w:tcPr/>
          <w:p>
            <w:pPr>
              <w:pStyle w:val="Compact"/>
              <w:jc w:val="left"/>
            </w:pPr>
            <w:r>
              <w:t xml:space="preserve">Scope 3 (Upstream)</w:t>
            </w:r>
          </w:p>
        </w:tc>
      </w:tr>
      <w:tr>
        <w:tc>
          <w:tcPr/>
          <w:p>
            <w:pPr>
              <w:pStyle w:val="Compact"/>
              <w:jc w:val="left"/>
            </w:pPr>
            <w:r>
              <w:t xml:space="preserve">Manufacturing</w:t>
            </w:r>
          </w:p>
        </w:tc>
        <w:tc>
          <w:tcPr/>
          <w:p>
            <w:pPr>
              <w:pStyle w:val="Compact"/>
              <w:jc w:val="left"/>
            </w:pPr>
            <w:r>
              <w:t xml:space="preserve">0.7750</w:t>
            </w:r>
          </w:p>
        </w:tc>
        <w:tc>
          <w:tcPr/>
          <w:p>
            <w:pPr>
              <w:pStyle w:val="Compact"/>
              <w:jc w:val="left"/>
            </w:pPr>
            <w:r>
              <w:t xml:space="preserve">Scope 2</w:t>
            </w:r>
          </w:p>
        </w:tc>
      </w:tr>
      <w:tr>
        <w:tc>
          <w:tcPr/>
          <w:p>
            <w:pPr>
              <w:pStyle w:val="Compact"/>
              <w:jc w:val="left"/>
            </w:pPr>
            <w:r>
              <w:t xml:space="preserve">Upstream Transport (materials)</w:t>
            </w:r>
          </w:p>
        </w:tc>
        <w:tc>
          <w:tcPr/>
          <w:p>
            <w:pPr>
              <w:pStyle w:val="Compact"/>
              <w:jc w:val="left"/>
            </w:pPr>
            <w:r>
              <w:t xml:space="preserve">0.0380</w:t>
            </w:r>
          </w:p>
        </w:tc>
        <w:tc>
          <w:tcPr/>
          <w:p>
            <w:pPr>
              <w:pStyle w:val="Compact"/>
              <w:jc w:val="left"/>
            </w:pPr>
            <w:r>
              <w:t xml:space="preserve">Scope 3 (Upstream)</w:t>
            </w:r>
          </w:p>
        </w:tc>
      </w:tr>
      <w:tr>
        <w:tc>
          <w:tcPr/>
          <w:p>
            <w:pPr>
              <w:pStyle w:val="Compact"/>
              <w:jc w:val="left"/>
            </w:pPr>
            <w:r>
              <w:t xml:space="preserve">Downstream Transport (product to distribution)</w:t>
            </w:r>
          </w:p>
        </w:tc>
        <w:tc>
          <w:tcPr/>
          <w:p>
            <w:pPr>
              <w:pStyle w:val="Compact"/>
              <w:jc w:val="left"/>
            </w:pPr>
            <w:r>
              <w:t xml:space="preserve">0.1140</w:t>
            </w:r>
          </w:p>
        </w:tc>
        <w:tc>
          <w:tcPr/>
          <w:p>
            <w:pPr>
              <w:pStyle w:val="Compact"/>
              <w:jc w:val="left"/>
            </w:pPr>
            <w:r>
              <w:t xml:space="preserve">Scope 3 (Downstream)</w:t>
            </w:r>
          </w:p>
        </w:tc>
      </w:tr>
      <w:tr>
        <w:tc>
          <w:tcPr/>
          <w:p>
            <w:pPr>
              <w:pStyle w:val="Compact"/>
              <w:jc w:val="left"/>
            </w:pPr>
            <w:r>
              <w:t xml:space="preserve">Last-Mile Delivery</w:t>
            </w:r>
          </w:p>
        </w:tc>
        <w:tc>
          <w:tcPr/>
          <w:p>
            <w:pPr>
              <w:pStyle w:val="Compact"/>
              <w:jc w:val="left"/>
            </w:pPr>
            <w:r>
              <w:t xml:space="preserve">0.0095</w:t>
            </w:r>
          </w:p>
        </w:tc>
        <w:tc>
          <w:tcPr/>
          <w:p>
            <w:pPr>
              <w:pStyle w:val="Compact"/>
              <w:jc w:val="left"/>
            </w:pPr>
            <w:r>
              <w:t xml:space="preserve">Scope 3 (Downstream)</w:t>
            </w:r>
          </w:p>
        </w:tc>
      </w:tr>
      <w:tr>
        <w:tc>
          <w:tcPr/>
          <w:p>
            <w:pPr>
              <w:pStyle w:val="Compact"/>
              <w:jc w:val="left"/>
            </w:pPr>
            <w:r>
              <w:t xml:space="preserve">Use Phase</w:t>
            </w:r>
          </w:p>
        </w:tc>
        <w:tc>
          <w:tcPr/>
          <w:p>
            <w:pPr>
              <w:pStyle w:val="Compact"/>
              <w:jc w:val="left"/>
            </w:pPr>
            <w:r>
              <w:t xml:space="preserve">20.0000</w:t>
            </w:r>
          </w:p>
        </w:tc>
        <w:tc>
          <w:tcPr/>
          <w:p>
            <w:pPr>
              <w:pStyle w:val="Compact"/>
              <w:jc w:val="left"/>
            </w:pPr>
            <w:r>
              <w:t xml:space="preserve">Scope 3 (Downstream)</w:t>
            </w:r>
          </w:p>
        </w:tc>
      </w:tr>
      <w:tr>
        <w:tc>
          <w:tcPr/>
          <w:p>
            <w:pPr>
              <w:pStyle w:val="Compact"/>
              <w:jc w:val="left"/>
            </w:pPr>
            <w:r>
              <w:t xml:space="preserve">End-of-Life</w:t>
            </w:r>
          </w:p>
        </w:tc>
        <w:tc>
          <w:tcPr/>
          <w:p>
            <w:pPr>
              <w:pStyle w:val="Compact"/>
              <w:jc w:val="left"/>
            </w:pPr>
            <w:r>
              <w:t xml:space="preserve">-1.8525</w:t>
            </w:r>
          </w:p>
        </w:tc>
        <w:tc>
          <w:tcPr/>
          <w:p>
            <w:pPr>
              <w:pStyle w:val="Compact"/>
              <w:jc w:val="left"/>
            </w:pPr>
            <w:r>
              <w:t xml:space="preserve">Scope 3 (Downstream)</w:t>
            </w:r>
          </w:p>
        </w:tc>
      </w:tr>
      <w:tr>
        <w:tc>
          <w:tcPr/>
          <w:p>
            <w:pPr>
              <w:pStyle w:val="Compact"/>
              <w:jc w:val="left"/>
            </w:pPr>
            <w:r>
              <w:rPr>
                <w:bCs/>
                <w:b/>
              </w:rPr>
              <w:t xml:space="preserve">Total Product Carbon Footprint</w:t>
            </w:r>
          </w:p>
        </w:tc>
        <w:tc>
          <w:tcPr/>
          <w:p>
            <w:pPr>
              <w:pStyle w:val="Compact"/>
              <w:jc w:val="left"/>
            </w:pPr>
            <w:r>
              <w:rPr>
                <w:bCs/>
                <w:b/>
              </w:rPr>
              <w:t xml:space="preserve">24.8840</w:t>
            </w:r>
          </w:p>
        </w:tc>
        <w:tc>
          <w:tcPr/>
          <w:p>
            <w:pPr>
              <w:pStyle w:val="Compact"/>
            </w:pPr>
          </w:p>
        </w:tc>
      </w:tr>
    </w:tbl>
    <w:bookmarkEnd w:id="39"/>
    <w:bookmarkStart w:id="40" w:name="ghg-protocol-scope-summary"/>
    <w:p>
      <w:pPr>
        <w:pStyle w:val="Heading3"/>
      </w:pPr>
      <w:r>
        <w:t xml:space="preserve">4.2. GHG Protocol Scope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(kgCO2e)</w:t>
            </w:r>
          </w:p>
        </w:tc>
        <w:tc>
          <w:tcPr/>
          <w:p>
            <w:pPr>
              <w:pStyle w:val="Compact"/>
              <w:jc w:val="left"/>
            </w:pPr>
            <w:r>
              <w:t xml:space="preserve">Contribution (%)</w:t>
            </w:r>
          </w:p>
        </w:tc>
      </w:tr>
      <w:tr>
        <w:tc>
          <w:tcPr/>
          <w:p>
            <w:pPr>
              <w:pStyle w:val="Compact"/>
              <w:jc w:val="left"/>
            </w:pPr>
            <w:r>
              <w:t xml:space="preserve">Scope 1 (Direct Emissions)</w:t>
            </w:r>
          </w:p>
        </w:tc>
        <w:tc>
          <w:tcPr/>
          <w:p>
            <w:pPr>
              <w:pStyle w:val="Compact"/>
              <w:jc w:val="left"/>
            </w:pPr>
            <w:r>
              <w:t xml:space="preserve">0.0000</w:t>
            </w:r>
          </w:p>
        </w:tc>
        <w:tc>
          <w:tcPr/>
          <w:p>
            <w:pPr>
              <w:pStyle w:val="Compact"/>
              <w:jc w:val="left"/>
            </w:pPr>
            <w:r>
              <w:t xml:space="preserve">0.00%</w:t>
            </w:r>
          </w:p>
        </w:tc>
      </w:tr>
      <w:tr>
        <w:tc>
          <w:tcPr/>
          <w:p>
            <w:pPr>
              <w:pStyle w:val="Compact"/>
              <w:jc w:val="left"/>
            </w:pPr>
            <w:r>
              <w:t xml:space="preserve">Scope 2 (Purchased Energy)</w:t>
            </w:r>
          </w:p>
        </w:tc>
        <w:tc>
          <w:tcPr/>
          <w:p>
            <w:pPr>
              <w:pStyle w:val="Compact"/>
              <w:jc w:val="left"/>
            </w:pPr>
            <w:r>
              <w:t xml:space="preserve">0.7750</w:t>
            </w:r>
          </w:p>
        </w:tc>
        <w:tc>
          <w:tcPr/>
          <w:p>
            <w:pPr>
              <w:pStyle w:val="Compact"/>
              <w:jc w:val="left"/>
            </w:pPr>
            <w:r>
              <w:t xml:space="preserve">3.11%</w:t>
            </w:r>
          </w:p>
        </w:tc>
      </w:tr>
      <w:tr>
        <w:tc>
          <w:tcPr/>
          <w:p>
            <w:pPr>
              <w:pStyle w:val="Compact"/>
              <w:jc w:val="left"/>
            </w:pPr>
            <w:r>
              <w:t xml:space="preserve">Scope 3 (Value Chain Emissions)</w:t>
            </w:r>
          </w:p>
        </w:tc>
        <w:tc>
          <w:tcPr/>
          <w:p>
            <w:pPr>
              <w:pStyle w:val="Compact"/>
              <w:jc w:val="left"/>
            </w:pPr>
            <w:r>
              <w:t xml:space="preserve">24.1090</w:t>
            </w:r>
          </w:p>
        </w:tc>
        <w:tc>
          <w:tcPr/>
          <w:p>
            <w:pPr>
              <w:pStyle w:val="Compact"/>
              <w:jc w:val="left"/>
            </w:pPr>
            <w:r>
              <w:t xml:space="preserve">96.89%</w:t>
            </w:r>
          </w:p>
        </w:tc>
      </w:tr>
      <w:tr>
        <w:tc>
          <w:tcPr/>
          <w:p>
            <w:pPr>
              <w:pStyle w:val="Compact"/>
              <w:jc w:val="left"/>
            </w:pPr>
            <w:r>
              <w:rPr>
                <w:bCs/>
                <w:b/>
              </w:rPr>
              <w:t xml:space="preserve">Grand Total PCF</w:t>
            </w:r>
          </w:p>
        </w:tc>
        <w:tc>
          <w:tcPr/>
          <w:p>
            <w:pPr>
              <w:pStyle w:val="Compact"/>
              <w:jc w:val="left"/>
            </w:pPr>
            <w:r>
              <w:rPr>
                <w:bCs/>
                <w:b/>
              </w:rPr>
              <w:t xml:space="preserve">24.8840</w:t>
            </w:r>
          </w:p>
        </w:tc>
        <w:tc>
          <w:tcPr/>
          <w:p>
            <w:pPr>
              <w:pStyle w:val="Compact"/>
              <w:jc w:val="left"/>
            </w:pPr>
            <w:r>
              <w:rPr>
                <w:bCs/>
                <w:b/>
              </w:rPr>
              <w:t xml:space="preserve">100.00%</w:t>
            </w:r>
          </w:p>
        </w:tc>
      </w:tr>
    </w:tbl>
    <w:p>
      <w:pPr>
        <w:pStyle w:val="BodyText"/>
      </w:pPr>
      <w:r>
        <w:rPr>
          <w:bCs/>
          <w:b/>
        </w:rPr>
        <w:t xml:space="preserve">Scope 3 Compliance:</w:t>
      </w:r>
      <w:r>
        <w:t xml:space="preserve"> </w:t>
      </w:r>
      <w:r>
        <w:t xml:space="preserve">The calculated Scope 3 emissions of 24.1090 kgCO2e represent approximately 96.89% of the total PCF, significantly exceeding the 2026 requirement for at least 95% coverage for Scope 3 reporting.</w:t>
      </w:r>
    </w:p>
    <w:bookmarkEnd w:id="40"/>
    <w:bookmarkStart w:id="41" w:name="lsr-update-application"/>
    <w:p>
      <w:pPr>
        <w:pStyle w:val="Heading3"/>
      </w:pPr>
      <w:r>
        <w:t xml:space="preserve">4.3. 2026 LSR Update Application</w:t>
      </w:r>
    </w:p>
    <w:p>
      <w:pPr>
        <w:pStyle w:val="FirstParagraph"/>
      </w:pPr>
      <w:r>
        <w:t xml:space="preserve">The GHG Protocol\'s Land Sector and Removals (LSR) Standard, released on January 30, 2026, and effective January 1, 2027, provides comprehensive guidance for accounting for land emissions, CO2 removals, and other relevant metrics within corporate GHG inventories. For this PCF analysis of AlphaGadget X1, while specific land use data for raw material extraction or carbon removals directly attributable to the product\'s value chain are not explicitly provided in the input parameters, the methodology acknowledges the importance of the LSR Standard. Should such data become available (e.g., related to agricultural inputs or specific land-based carbon sequestration projects in the supply chain), it would be integrated following the LSR Standard\'s requirements to quantify and track these impacts, particularly within Scope 3.</w:t>
      </w:r>
    </w:p>
    <w:p>
      <w:r>
        <w:pict>
          <v:rect style="width:0;height:1.5pt" o:hralign="center" o:hrstd="t" o:hr="t"/>
        </w:pict>
      </w:r>
    </w:p>
    <w:bookmarkEnd w:id="41"/>
    <w:bookmarkStart w:id="42" w:name="review-report"/>
    <w:p>
      <w:pPr>
        <w:pStyle w:val="Heading2"/>
      </w:pPr>
      <w:r>
        <w:t xml:space="preserve">5. Review &amp; Report</w:t>
      </w:r>
    </w:p>
    <w:bookmarkEnd w:id="42"/>
    <w:bookmarkStart w:id="43" w:name="hotspots-identification"/>
    <w:p>
      <w:pPr>
        <w:pStyle w:val="Heading3"/>
      </w:pPr>
      <w:r>
        <w:t xml:space="preserve">5.1. Hotspots Identification</w:t>
      </w:r>
    </w:p>
    <w:p>
      <w:pPr>
        <w:pStyle w:val="FirstParagraph"/>
      </w:pPr>
      <w:r>
        <w:t xml:space="preserve">The PCF analysis reveals the following key emission hotspots for AlphaGadget X1:</w:t>
      </w:r>
    </w:p>
    <w:p>
      <w:pPr>
        <w:numPr>
          <w:ilvl w:val="0"/>
          <w:numId w:val="1013"/>
        </w:numPr>
        <w:pStyle w:val="Compact"/>
      </w:pPr>
      <w:r>
        <w:rPr>
          <w:bCs/>
          <w:b/>
        </w:rPr>
        <w:t xml:space="preserve">Use Phase (80.37% of total PCF):</w:t>
      </w:r>
      <w:r>
        <w:t xml:space="preserve"> </w:t>
      </w:r>
      <w:r>
        <w:t xml:space="preserve">This stage represents the most significant contributor to the product\'s carbon footprint due to the energy consumption over its 5-year lifespan. This highlights the critical importance of energy efficiency and renewable energy adoption at the user level.</w:t>
      </w:r>
    </w:p>
    <w:p>
      <w:pPr>
        <w:numPr>
          <w:ilvl w:val="0"/>
          <w:numId w:val="1013"/>
        </w:numPr>
        <w:pStyle w:val="Compact"/>
      </w:pPr>
      <w:r>
        <w:rPr>
          <w:bCs/>
          <w:b/>
        </w:rPr>
        <w:t xml:space="preserve">Material Acquisition &amp; Pre-processing (23.39% of total PCF):</w:t>
      </w:r>
      <w:r>
        <w:t xml:space="preserve"> </w:t>
      </w:r>
      <w:r>
        <w:t xml:space="preserve">The production of materials, particularly aluminum and the electronic components, carries a substantial environmental burden. This underscores the need for sustainable material sourcing and design.</w:t>
      </w:r>
    </w:p>
    <w:p>
      <w:pPr>
        <w:numPr>
          <w:ilvl w:val="0"/>
          <w:numId w:val="1013"/>
        </w:numPr>
        <w:pStyle w:val="Compact"/>
      </w:pPr>
      <w:r>
        <w:rPr>
          <w:bCs/>
          <w:b/>
        </w:rPr>
        <w:t xml:space="preserve">End-of-Life (-7.46% of total PCF):</w:t>
      </w:r>
      <w:r>
        <w:t xml:space="preserve"> </w:t>
      </w:r>
      <w:r>
        <w:t xml:space="preserve">The negative emissions indicate a net benefit at the end-of-life due to a high recyclability percentage and the avoided emissions from recycling, demonstrating the positive impact of circular economy initiatives.</w:t>
      </w:r>
    </w:p>
    <w:bookmarkEnd w:id="43"/>
    <w:bookmarkStart w:id="44" w:name="reliability-and-recommendations"/>
    <w:p>
      <w:pPr>
        <w:pStyle w:val="Heading3"/>
      </w:pPr>
      <w:r>
        <w:t xml:space="preserve">5.2. Reliability and Recommendations</w:t>
      </w:r>
    </w:p>
    <w:p>
      <w:pPr>
        <w:pStyle w:val="FirstParagraph"/>
      </w:pPr>
      <w:r>
        <w:t xml:space="preserve">The reliability of this PCF is good given the detailed parameters provided. However, the use of illustrative emission factors for certain stages (e.g., generic grid mix, transport, and EoL scenarios) introduces a degree of uncertainty. To enhance accuracy, the following recommendations are made:</w:t>
      </w:r>
    </w:p>
    <w:p>
      <w:pPr>
        <w:numPr>
          <w:ilvl w:val="0"/>
          <w:numId w:val="1014"/>
        </w:numPr>
        <w:pStyle w:val="Compact"/>
      </w:pPr>
      <w:r>
        <w:rPr>
          <w:bCs/>
          <w:b/>
        </w:rPr>
        <w:t xml:space="preserve">Primary Data Collection:</w:t>
      </w:r>
      <w:r>
        <w:t xml:space="preserve"> </w:t>
      </w:r>
      <w:r>
        <w:t xml:space="preserve">Prioritize collecting primary data from direct suppliers for material production and transportation, especially for high-impact components.</w:t>
      </w:r>
    </w:p>
    <w:p>
      <w:pPr>
        <w:numPr>
          <w:ilvl w:val="0"/>
          <w:numId w:val="1014"/>
        </w:numPr>
        <w:pStyle w:val="Compact"/>
      </w:pPr>
      <w:r>
        <w:rPr>
          <w:bCs/>
          <w:b/>
        </w:rPr>
        <w:t xml:space="preserve">Detailed Energy Mix:</w:t>
      </w:r>
      <w:r>
        <w:t xml:space="preserve"> </w:t>
      </w:r>
      <w:r>
        <w:t xml:space="preserve">Obtain specific grid electricity mixes for all manufacturing locations, including the final production country (China), to accurately reflect Scope 2 emissions.</w:t>
      </w:r>
    </w:p>
    <w:p>
      <w:pPr>
        <w:numPr>
          <w:ilvl w:val="0"/>
          <w:numId w:val="1014"/>
        </w:numPr>
        <w:pStyle w:val="Compact"/>
      </w:pPr>
      <w:r>
        <w:rPr>
          <w:bCs/>
          <w:b/>
        </w:rPr>
        <w:t xml:space="preserve">Lifecycle Optimization:</w:t>
      </w:r>
    </w:p>
    <w:p>
      <w:pPr>
        <w:numPr>
          <w:ilvl w:val="1"/>
          <w:numId w:val="1015"/>
        </w:numPr>
        <w:pStyle w:val="Compact"/>
      </w:pPr>
      <w:r>
        <w:rPr>
          <w:bCs/>
          <w:b/>
        </w:rPr>
        <w:t xml:space="preserve">Use Phase:</w:t>
      </w:r>
      <w:r>
        <w:t xml:space="preserve"> </w:t>
      </w:r>
      <w:r>
        <w:t xml:space="preserve">Explore product design improvements for energy efficiency or integration of low-power modes. Educate consumers on efficient product use.</w:t>
      </w:r>
    </w:p>
    <w:p>
      <w:pPr>
        <w:numPr>
          <w:ilvl w:val="1"/>
          <w:numId w:val="1015"/>
        </w:numPr>
        <w:pStyle w:val="Compact"/>
      </w:pPr>
      <w:r>
        <w:rPr>
          <w:bCs/>
          <w:b/>
        </w:rPr>
        <w:t xml:space="preserve">Materials:</w:t>
      </w:r>
      <w:r>
        <w:t xml:space="preserve"> </w:t>
      </w:r>
      <w:r>
        <w:t xml:space="preserve">Investigate opportunities for using recycled content, lower-carbon alternative materials, or collaborating with suppliers on decarbonization efforts.</w:t>
      </w:r>
    </w:p>
    <w:p>
      <w:pPr>
        <w:numPr>
          <w:ilvl w:val="1"/>
          <w:numId w:val="1015"/>
        </w:numPr>
        <w:pStyle w:val="Compact"/>
      </w:pPr>
      <w:r>
        <w:rPr>
          <w:bCs/>
          <w:b/>
        </w:rPr>
        <w:t xml:space="preserve">Logistics:</w:t>
      </w:r>
      <w:r>
        <w:t xml:space="preserve"> </w:t>
      </w:r>
      <w:r>
        <w:t xml:space="preserve">Optimize transport routes, explore lower-emission transport modes (e.g., rail, sea freight where feasible) for the supply chain, and encourage local sourcing.</w:t>
      </w:r>
    </w:p>
    <w:p>
      <w:pPr>
        <w:numPr>
          <w:ilvl w:val="0"/>
          <w:numId w:val="1014"/>
        </w:numPr>
        <w:pStyle w:val="Compact"/>
      </w:pPr>
      <w:r>
        <w:rPr>
          <w:bCs/>
          <w:b/>
        </w:rPr>
        <w:t xml:space="preserve">Circular Economy Expansion:</w:t>
      </w:r>
      <w:r>
        <w:t xml:space="preserve"> </w:t>
      </w:r>
      <w:r>
        <w:t xml:space="preserve">Strengthen and expand the existing take-back programs to maximize product recovery and recycling rates, further enhancing end-of-life benefits.</w:t>
      </w:r>
    </w:p>
    <w:p>
      <w:pPr>
        <w:numPr>
          <w:ilvl w:val="0"/>
          <w:numId w:val="1014"/>
        </w:numPr>
        <w:pStyle w:val="Compact"/>
      </w:pPr>
      <w:r>
        <w:rPr>
          <w:bCs/>
          <w:b/>
        </w:rPr>
        <w:t xml:space="preserve">LSR Standard Integration:</w:t>
      </w:r>
      <w:r>
        <w:t xml:space="preserve"> </w:t>
      </w:r>
      <w:r>
        <w:t xml:space="preserve">If applicable to your supply chain (e.g., for components derived from agricultural products or specific land-intensive processes), integrate data collection and reporting according to the GHG Protocol LSR Standard as its accompanying guidance is published in Q2 2026.</w:t>
      </w:r>
    </w:p>
    <w:p>
      <w:pPr>
        <w:pStyle w:val="FirstParagraph"/>
      </w:pPr>
      <w:r>
        <w:t xml:space="preserve">By focusing on these hotspots and implementing the recommended actions, EcoSolutions Inc. can significantly reduce the overall carbon footprint of AlphaGadget X1 and demonstrate leadership in product sustainability.</w:t>
      </w:r>
    </w:p>
    <w:p>
      <w:r>
        <w:pict>
          <v:rect style="width:0;height:1.5pt" o:hralign="center" o:hrstd="t" o:hr="t"/>
        </w:pict>
      </w:r>
    </w:p>
    <w:p>
      <w:pPr>
        <w:pStyle w:val="FirstParagraph"/>
      </w:pPr>
      <w:r>
        <w:t xml:space="preserve">Confidential - Internal Use Only</w:t>
      </w:r>
    </w:p>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AlphaGadget X1</dc:title>
  <dc:creator/>
  <dc:description>Detailed Product Carbon Footprint (PCF) analysis report for AlphaGadget X1 by EcoSolutions Inc., adhering to GHG Protocol standards including the 2026 LSR update.</dc:description>
  <dc:language>en</dc:language>
  <cp:keywords/>
  <dcterms:created xsi:type="dcterms:W3CDTF">2026-05-30T10:33:46Z</dcterms:created>
  <dcterms:modified xsi:type="dcterms:W3CDTF">2026-05-30T10:33:46Z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