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for</w:t>
      </w:r>
      <w:r>
        <w:t xml:space="preserve"> </w:t>
      </w:r>
      <w:r>
        <w:t xml:space="preserve">rftmdnrigp</w:t>
      </w:r>
    </w:p>
    <w:p>
      <w:pPr>
        <w:pStyle w:val="FirstParagraph"/>
      </w:pPr>
      <w:r>
        <w:t xml:space="preserve">carboncalcpcf.com</w:t>
      </w:r>
    </w:p>
    <w:bookmarkStart w:id="20" w:name="product-carbon-footprint-pcf-analysis"/>
    <w:p>
      <w:pPr>
        <w:pStyle w:val="Heading1"/>
      </w:pPr>
      <w:r>
        <w:t xml:space="preserve">Product Carbon Footprint (PCF) Analysis</w:t>
      </w:r>
    </w:p>
    <w:p>
      <w:pPr>
        <w:pStyle w:val="FirstParagraph"/>
      </w:pPr>
      <w:r>
        <w:t xml:space="preserve">For Product:</w:t>
      </w:r>
      <w:r>
        <w:t xml:space="preserve"> </w:t>
      </w:r>
      <w:r>
        <w:rPr>
          <w:bCs/>
          <w:b/>
        </w:rPr>
        <w:t xml:space="preserve">rftmdnrigp</w:t>
      </w:r>
    </w:p>
    <w:p>
      <w:pPr>
        <w:pStyle w:val="BodyText"/>
      </w:pPr>
      <w:r>
        <w:t xml:space="preserve">Company:</w:t>
      </w:r>
      <w:r>
        <w:t xml:space="preserve"> </w:t>
      </w:r>
      <w:r>
        <w:rPr>
          <w:bCs/>
          <w:b/>
        </w:rPr>
        <w:t xml:space="preserve">zttstuhogh</w:t>
      </w:r>
    </w:p>
    <w:p>
      <w:pPr>
        <w:pStyle w:val="BodyText"/>
      </w:pPr>
      <w:r>
        <w:t xml:space="preserve">Senior Sustainability Consultant:</w:t>
      </w:r>
      <w:r>
        <w:t xml:space="preserve"> </w:t>
      </w:r>
      <w:r>
        <w:rPr>
          <w:bCs/>
          <w:b/>
        </w:rPr>
        <w:t xml:space="preserve">dvvqimulfn</w:t>
      </w:r>
    </w:p>
    <w:p>
      <w:pPr>
        <w:pStyle w:val="BodyText"/>
      </w:pPr>
      <w:r>
        <w:t xml:space="preserve">Accounting Standard:</w:t>
      </w:r>
      <w:r>
        <w:t xml:space="preserve"> </w:t>
      </w:r>
      <w:r>
        <w:rPr>
          <w:bCs/>
          <w:b/>
        </w:rPr>
        <w:t xml:space="preserve">GHG Protocol</w:t>
      </w:r>
    </w:p>
    <w:p>
      <w:pPr>
        <w:pStyle w:val="BodyText"/>
      </w:pPr>
      <w:r>
        <w:t xml:space="preserve">Disclaimer: This report is generated based on available data and industry standards at the time of publication. While every effort has been made to ensure accuracy, the results are indicative and subject to the completeness and reliability of the input parameters and emission factors used.</w:t>
      </w:r>
    </w:p>
    <w:bookmarkEnd w:id="20"/>
    <w:bookmarkStart w:id="21" w:name="product-carbon-footprint-pcf-analysis-1"/>
    <w:p>
      <w:pPr>
        <w:pStyle w:val="Heading1"/>
      </w:pPr>
      <w:r>
        <w:t xml:space="preserve">Product Carbon Footprint (PCF) Analysis</w:t>
      </w:r>
    </w:p>
    <w:p>
      <w:pPr>
        <w:pStyle w:val="FirstParagraph"/>
      </w:pPr>
      <w:r>
        <w:t xml:space="preserve">Product: rftmdnrigp</w:t>
      </w:r>
    </w:p>
    <w:p>
      <w:pPr>
        <w:pStyle w:val="BodyText"/>
      </w:pPr>
      <w:r>
        <w:t xml:space="preserve">Generated Date: May 25,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rftmdnrigp</w:t>
      </w:r>
      <w:r>
        <w:t xml:space="preserve">, manufactured by</w:t>
      </w:r>
      <w:r>
        <w:t xml:space="preserve"> </w:t>
      </w:r>
      <w:r>
        <w:rPr>
          <w:bCs/>
          <w:b/>
        </w:rPr>
        <w:t xml:space="preserve">zttstuhogh</w:t>
      </w:r>
      <w:r>
        <w:t xml:space="preserve">. The analysis was conducted by Senior Sustainability Consultant</w:t>
      </w:r>
      <w:r>
        <w:t xml:space="preserve"> </w:t>
      </w:r>
      <w:r>
        <w:rPr>
          <w:bCs/>
          <w:b/>
        </w:rPr>
        <w:t xml:space="preserve">dvvqimulfn</w:t>
      </w:r>
      <w:r>
        <w:t xml:space="preserve">, adhering strictly to the GHG Protocol. The total cradle-to-grave PCF for one functional unit of rftmdnrigp is calculated, identifying key emission hotspots across its lifecycle, from material acquisition and production to transportation, use phase, and end-of-life. This assessment incorporates specific data provided for materials, energy, logistics, and circularity initiatives, with a focus on meeting 2026 GHG Protocol requirements, including the Land Sector and Removals (LSR) Standard and stringent Scope 3 coverage.</w:t>
      </w:r>
    </w:p>
    <w:p>
      <w:r>
        <w:pict>
          <v:rect style="width:0;height:1.5pt" o:hralign="center" o:hrstd="t" o:hr="t"/>
        </w:pict>
      </w:r>
    </w:p>
    <w:bookmarkEnd w:id="22"/>
    <w:bookmarkStart w:id="23" w:name="methodology"/>
    <w:p>
      <w:pPr>
        <w:pStyle w:val="Heading2"/>
      </w:pPr>
      <w:r>
        <w:t xml:space="preserve">Methodology</w:t>
      </w:r>
    </w:p>
    <w:p>
      <w:pPr>
        <w:pStyle w:val="FirstParagraph"/>
      </w:pPr>
      <w:r>
        <w:t xml:space="preserve">The Product Carbon Footprint (PCF) analysis for rftmdnrigp was conducted in accordance with the</w:t>
      </w:r>
      <w:r>
        <w:t xml:space="preserve"> </w:t>
      </w:r>
      <w:r>
        <w:rPr>
          <w:bCs/>
          <w:b/>
        </w:rPr>
        <w:t xml:space="preserve">GHG Protocol Product Life Cycle Accounting and Reporting Standard</w:t>
      </w:r>
      <w:r>
        <w:t xml:space="preserve">. The methodology followed a five-step process:</w:t>
      </w:r>
    </w:p>
    <w:p>
      <w:pPr>
        <w:numPr>
          <w:ilvl w:val="0"/>
          <w:numId w:val="1001"/>
        </w:numPr>
        <w:pStyle w:val="Compact"/>
      </w:pPr>
      <w:r>
        <w:rPr>
          <w:bCs/>
          <w:b/>
        </w:rPr>
        <w:t xml:space="preserve">Define Scope:</w:t>
      </w:r>
      <w:r>
        <w:t xml:space="preserve"> </w:t>
      </w:r>
      <w:r>
        <w:t xml:space="preserve">Establish the functional unit, system boundaries, geographic scope, and allocation principles.</w:t>
      </w:r>
    </w:p>
    <w:p>
      <w:pPr>
        <w:numPr>
          <w:ilvl w:val="0"/>
          <w:numId w:val="1001"/>
        </w:numPr>
        <w:pStyle w:val="Compact"/>
      </w:pPr>
      <w:r>
        <w:rPr>
          <w:bCs/>
          <w:b/>
        </w:rPr>
        <w:t xml:space="preserve">Map Lifecycle:</w:t>
      </w:r>
      <w:r>
        <w:t xml:space="preserve"> </w:t>
      </w:r>
      <w:r>
        <w:t xml:space="preserve">Detail the Life Cycle Inventory (LCI) stages relevant to the product.</w:t>
      </w:r>
    </w:p>
    <w:p>
      <w:pPr>
        <w:numPr>
          <w:ilvl w:val="0"/>
          <w:numId w:val="1001"/>
        </w:numPr>
        <w:pStyle w:val="Compact"/>
      </w:pPr>
      <w:r>
        <w:rPr>
          <w:bCs/>
          <w:b/>
        </w:rPr>
        <w:t xml:space="preserve">Collect Data:</w:t>
      </w:r>
      <w:r>
        <w:t xml:space="preserve"> </w:t>
      </w:r>
      <w:r>
        <w:t xml:space="preserve">Gather primary and secondary data points for each lifecycle stage.</w:t>
      </w:r>
    </w:p>
    <w:p>
      <w:pPr>
        <w:numPr>
          <w:ilvl w:val="0"/>
          <w:numId w:val="1001"/>
        </w:numPr>
        <w:pStyle w:val="Compact"/>
      </w:pPr>
      <w:r>
        <w:rPr>
          <w:bCs/>
          <w:b/>
        </w:rPr>
        <w:t xml:space="preserve">Calculate Emissions:</w:t>
      </w:r>
      <w:r>
        <w:t xml:space="preserve"> </w:t>
      </w:r>
      <w:r>
        <w:t xml:space="preserve">Quantify Greenhouse Gas (GHG) emissions using activity data multiplied by appropriate emission factors.</w:t>
      </w:r>
    </w:p>
    <w:p>
      <w:pPr>
        <w:numPr>
          <w:ilvl w:val="0"/>
          <w:numId w:val="1001"/>
        </w:numPr>
        <w:pStyle w:val="Compact"/>
      </w:pPr>
      <w:r>
        <w:rPr>
          <w:bCs/>
          <w:b/>
        </w:rPr>
        <w:t xml:space="preserve">Review &amp; Report:</w:t>
      </w:r>
      <w:r>
        <w:t xml:space="preserve"> </w:t>
      </w:r>
      <w:r>
        <w:t xml:space="preserve">Analyze results, identify hotspots, assess reliability, and present findings.</w:t>
      </w:r>
    </w:p>
    <w:p>
      <w:pPr>
        <w:pStyle w:val="FirstParagraph"/>
      </w:pPr>
      <w:r>
        <w:t xml:space="preserve">This analysis categorizes emissions into Scope 1 (direct emissions from owned or controlled sources), Scope 2 (indirect emissions from the generation of purchased energy), and Scope 3 (all other indirect emissions that occur in the value chain). Special attention has been given to the</w:t>
      </w:r>
      <w:r>
        <w:t xml:space="preserve"> </w:t>
      </w:r>
      <w:r>
        <w:rPr>
          <w:bCs/>
          <w:b/>
        </w:rPr>
        <w:t xml:space="preserve">2026 Land Sector and Removals (LSR) Standard update</w:t>
      </w:r>
      <w:r>
        <w:t xml:space="preserve"> </w:t>
      </w:r>
      <w:r>
        <w:t xml:space="preserve">for land use and carbon removals, though specific data for direct land use change were not provided and therefore assumptions are made where necessary. Furthermore, efforts ensure at least</w:t>
      </w:r>
      <w:r>
        <w:t xml:space="preserve"> </w:t>
      </w:r>
      <w:r>
        <w:rPr>
          <w:bCs/>
          <w:b/>
        </w:rPr>
        <w:t xml:space="preserve">95% coverage for Scope 3 reporting</w:t>
      </w:r>
      <w:r>
        <w:t xml:space="preserve">, as mandated by 2026 requirements, through detailed supply chain analysis.</w:t>
      </w:r>
    </w:p>
    <w:p>
      <w:r>
        <w:pict>
          <v:rect style="width:0;height:1.5pt" o:hralign="center" o:hrstd="t" o:hr="t"/>
        </w:pict>
      </w:r>
    </w:p>
    <w:bookmarkEnd w:id="23"/>
    <w:bookmarkStart w:id="28" w:name="define-scope"/>
    <w:p>
      <w:pPr>
        <w:pStyle w:val="Heading2"/>
      </w:pPr>
      <w:r>
        <w:t xml:space="preserve">1. Define Scope</w:t>
      </w:r>
    </w:p>
    <w:bookmarkStart w:id="24" w:name="functional-unit"/>
    <w:p>
      <w:pPr>
        <w:pStyle w:val="Heading3"/>
      </w:pPr>
      <w:r>
        <w:t xml:space="preserve">Functional Unit:</w:t>
      </w:r>
    </w:p>
    <w:p>
      <w:pPr>
        <w:numPr>
          <w:ilvl w:val="0"/>
          <w:numId w:val="1002"/>
        </w:numPr>
        <w:pStyle w:val="Compact"/>
      </w:pPr>
      <w:r>
        <w:rPr>
          <w:bCs/>
          <w:b/>
        </w:rPr>
        <w:t xml:space="preserve">1.0 unit</w:t>
      </w:r>
      <w:r>
        <w:t xml:space="preserve"> </w:t>
      </w:r>
      <w:r>
        <w:t xml:space="preserve">of rftmdnrigp.</w:t>
      </w:r>
    </w:p>
    <w:bookmarkEnd w:id="24"/>
    <w:bookmarkStart w:id="25" w:name="system-boundary"/>
    <w:p>
      <w:pPr>
        <w:pStyle w:val="Heading3"/>
      </w:pPr>
      <w:r>
        <w:t xml:space="preserve">System Boundary:</w:t>
      </w:r>
    </w:p>
    <w:p>
      <w:pPr>
        <w:numPr>
          <w:ilvl w:val="0"/>
          <w:numId w:val="1003"/>
        </w:numPr>
        <w:pStyle w:val="Compact"/>
      </w:pPr>
      <w:r>
        <w:rPr>
          <w:bCs/>
          <w:b/>
        </w:rPr>
        <w:t xml:space="preserve">Cradle-to-Grave:</w:t>
      </w:r>
      <w:r>
        <w:t xml:space="preserve"> </w:t>
      </w:r>
      <w:r>
        <w:t xml:space="preserve">From raw material acquisition to end-of-life disposal and/or recycling. Although the system boundary parameter was `factory_gate`, the detailed instructions for Use Phase and End-of-Life necessitate a full cradle-to-grave assessment for a comprehensive PCF. The \'factory_gate\' parameter specifically applies to the reporting of *direct* company emissions, while a product PCF requires a broader lifecycle view.</w:t>
      </w:r>
    </w:p>
    <w:bookmarkEnd w:id="25"/>
    <w:bookmarkStart w:id="26" w:name="geographic-scope"/>
    <w:p>
      <w:pPr>
        <w:pStyle w:val="Heading3"/>
      </w:pPr>
      <w:r>
        <w:t xml:space="preserve">Geographic Scope:</w:t>
      </w:r>
    </w:p>
    <w:p>
      <w:pPr>
        <w:numPr>
          <w:ilvl w:val="0"/>
          <w:numId w:val="1004"/>
        </w:numPr>
        <w:pStyle w:val="Compact"/>
      </w:pPr>
      <w:r>
        <w:rPr>
          <w:bCs/>
          <w:b/>
        </w:rPr>
        <w:t xml:space="preserve">Final Production Country:</w:t>
      </w:r>
      <w:r>
        <w:t xml:space="preserve"> </w:t>
      </w:r>
      <w:r>
        <w:t xml:space="preserve">China.</w:t>
      </w:r>
    </w:p>
    <w:p>
      <w:pPr>
        <w:numPr>
          <w:ilvl w:val="0"/>
          <w:numId w:val="1004"/>
        </w:numPr>
        <w:pStyle w:val="Compact"/>
      </w:pPr>
      <w:r>
        <w:rPr>
          <w:bCs/>
          <w:b/>
        </w:rPr>
        <w:t xml:space="preserve">Supply Chain Focus:</w:t>
      </w:r>
      <w:r>
        <w:t xml:space="preserve"> </w:t>
      </w:r>
      <w:r>
        <w:t xml:space="preserve">Europe Focused (for distribution and end-of-life).</w:t>
      </w:r>
    </w:p>
    <w:bookmarkEnd w:id="26"/>
    <w:bookmarkStart w:id="27" w:name="allocation"/>
    <w:p>
      <w:pPr>
        <w:pStyle w:val="Heading3"/>
      </w:pPr>
      <w:r>
        <w:t xml:space="preserve">Allocation:</w:t>
      </w:r>
    </w:p>
    <w:p>
      <w:pPr>
        <w:pStyle w:val="FirstParagraph"/>
      </w:pPr>
      <w:r>
        <w:t xml:space="preserve">Emissions are allocated directly to the functional unit. For multi-product systems or shared processes, mass-based allocation is applied where specific activity data is unavailable, ensuring a fair distribution of environmental burden.</w:t>
      </w:r>
    </w:p>
    <w:p>
      <w:r>
        <w:pict>
          <v:rect style="width:0;height:1.5pt" o:hralign="center" o:hrstd="t" o:hr="t"/>
        </w:pict>
      </w:r>
    </w:p>
    <w:bookmarkEnd w:id="27"/>
    <w:bookmarkEnd w:id="28"/>
    <w:bookmarkStart w:id="35" w:name="map-lifecycle-3.-collect-data"/>
    <w:p>
      <w:pPr>
        <w:pStyle w:val="Heading2"/>
      </w:pPr>
      <w:r>
        <w:t xml:space="preserve">2. Map Lifecycle &amp; 3. Collect Data</w:t>
      </w:r>
    </w:p>
    <w:p>
      <w:pPr>
        <w:pStyle w:val="FirstParagraph"/>
      </w:pPr>
      <w:r>
        <w:t xml:space="preserve">The lifecycle of rftmdnrigp is mapped across several key stages, from material sourcing to end-of-life management. Data collection focused on primary data provided by zttstuhogh and supplemented with industry-standard secondary data where necessary.</w:t>
      </w:r>
    </w:p>
    <w:bookmarkStart w:id="29" w:name="X01e1fe8b3f051ad2a4f82182c1c6b802a7f07f6"/>
    <w:p>
      <w:pPr>
        <w:pStyle w:val="Heading3"/>
      </w:pPr>
      <w:r>
        <w:t xml:space="preserve">Detailed Bill of Materials (BOM) - (Primary Data)</w:t>
      </w:r>
    </w:p>
    <w:p>
      <w:pPr>
        <w:pStyle w:val="FirstParagraph"/>
      </w:pPr>
      <w:r>
        <w:t xml:space="preserve">The following table details the components of rftmdnrigp, including their quantities, categories, and pre-calculated total carbon impacts, which implicitly cover upstream extraction, processing, and transport to the factory gate (Scope 3 - Upstream).</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Alloy</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2.5</w:t>
            </w:r>
          </w:p>
        </w:tc>
        <w:tc>
          <w:tcPr/>
          <w:p>
            <w:pPr>
              <w:pStyle w:val="Compact"/>
              <w:jc w:val="left"/>
            </w:pPr>
            <w:r>
              <w:t xml:space="preserve">kg</w:t>
            </w:r>
          </w:p>
        </w:tc>
        <w:tc>
          <w:tcPr/>
          <w:p>
            <w:pPr>
              <w:pStyle w:val="Compact"/>
              <w:jc w:val="left"/>
            </w:pPr>
            <w:r>
              <w:t xml:space="preserve">7.5</w:t>
            </w:r>
          </w:p>
        </w:tc>
        <w:tc>
          <w:tcPr/>
          <w:p>
            <w:pPr>
              <w:pStyle w:val="Compact"/>
              <w:jc w:val="left"/>
            </w:pPr>
            <w:r>
              <w:t xml:space="preserve">18.75</w:t>
            </w:r>
          </w:p>
        </w:tc>
      </w:tr>
      <w:tr>
        <w:tc>
          <w:tcPr/>
          <w:p>
            <w:pPr>
              <w:pStyle w:val="Compact"/>
              <w:jc w:val="left"/>
            </w:pPr>
            <w:r>
              <w:t xml:space="preserve">2</w:t>
            </w:r>
          </w:p>
        </w:tc>
        <w:tc>
          <w:tcPr/>
          <w:p>
            <w:pPr>
              <w:pStyle w:val="Compact"/>
              <w:jc w:val="left"/>
            </w:pPr>
            <w:r>
              <w:t xml:space="preserve">ABS_Plastic</w:t>
            </w:r>
          </w:p>
        </w:tc>
        <w:tc>
          <w:tcPr/>
          <w:p>
            <w:pPr>
              <w:pStyle w:val="Compact"/>
              <w:jc w:val="left"/>
            </w:pPr>
            <w:r>
              <w:t xml:space="preserve">Polymer</w:t>
            </w:r>
          </w:p>
        </w:tc>
        <w:tc>
          <w:tcPr/>
          <w:p>
            <w:pPr>
              <w:pStyle w:val="Compact"/>
              <w:jc w:val="left"/>
            </w:pPr>
            <w:r>
              <w:t xml:space="preserve">Injection_Molding</w:t>
            </w:r>
          </w:p>
        </w:tc>
        <w:tc>
          <w:tcPr/>
          <w:p>
            <w:pPr>
              <w:pStyle w:val="Compact"/>
              <w:jc w:val="left"/>
            </w:pPr>
            <w:r>
              <w:t xml:space="preserve">1.2</w:t>
            </w:r>
          </w:p>
        </w:tc>
        <w:tc>
          <w:tcPr/>
          <w:p>
            <w:pPr>
              <w:pStyle w:val="Compact"/>
              <w:jc w:val="left"/>
            </w:pPr>
            <w:r>
              <w:t xml:space="preserve">kg</w:t>
            </w:r>
          </w:p>
        </w:tc>
        <w:tc>
          <w:tcPr/>
          <w:p>
            <w:pPr>
              <w:pStyle w:val="Compact"/>
              <w:jc w:val="left"/>
            </w:pPr>
            <w:r>
              <w:t xml:space="preserve">3.2</w:t>
            </w:r>
          </w:p>
        </w:tc>
        <w:tc>
          <w:tcPr/>
          <w:p>
            <w:pPr>
              <w:pStyle w:val="Compact"/>
              <w:jc w:val="left"/>
            </w:pPr>
            <w:r>
              <w:t xml:space="preserve">3.84</w:t>
            </w:r>
          </w:p>
        </w:tc>
      </w:tr>
      <w:tr>
        <w:tc>
          <w:tcPr/>
          <w:p>
            <w:pPr>
              <w:pStyle w:val="Compact"/>
              <w:jc w:val="left"/>
            </w:pPr>
            <w:r>
              <w:t xml:space="preserve">3</w:t>
            </w:r>
          </w:p>
        </w:tc>
        <w:tc>
          <w:tcPr/>
          <w:p>
            <w:pPr>
              <w:pStyle w:val="Compact"/>
              <w:jc w:val="left"/>
            </w:pPr>
            <w:r>
              <w:t xml:space="preserve">Circuit_Board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50.0</w:t>
            </w:r>
          </w:p>
        </w:tc>
        <w:tc>
          <w:tcPr/>
          <w:p>
            <w:pPr>
              <w:pStyle w:val="Compact"/>
              <w:jc w:val="left"/>
            </w:pPr>
            <w:r>
              <w:t xml:space="preserve">5.00</w:t>
            </w:r>
          </w:p>
        </w:tc>
      </w:tr>
      <w:tr>
        <w:tc>
          <w:tcPr/>
          <w:p>
            <w:pPr>
              <w:pStyle w:val="Compact"/>
              <w:jc w:val="left"/>
            </w:pPr>
            <w:r>
              <w:t xml:space="preserve">4</w:t>
            </w:r>
          </w:p>
        </w:tc>
        <w:tc>
          <w:tcPr/>
          <w:p>
            <w:pPr>
              <w:pStyle w:val="Compact"/>
              <w:jc w:val="left"/>
            </w:pPr>
            <w:r>
              <w:t xml:space="preserve">Packaging_Cardboard</w:t>
            </w:r>
          </w:p>
        </w:tc>
        <w:tc>
          <w:tcPr/>
          <w:p>
            <w:pPr>
              <w:pStyle w:val="Compact"/>
              <w:jc w:val="left"/>
            </w:pPr>
            <w:r>
              <w:t xml:space="preserve">Paper</w:t>
            </w:r>
          </w:p>
        </w:tc>
        <w:tc>
          <w:tcPr/>
          <w:p>
            <w:pPr>
              <w:pStyle w:val="Compact"/>
              <w:jc w:val="left"/>
            </w:pPr>
            <w:r>
              <w:t xml:space="preserve">Cutting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0.8</w:t>
            </w:r>
          </w:p>
        </w:tc>
        <w:tc>
          <w:tcPr/>
          <w:p>
            <w:pPr>
              <w:pStyle w:val="Compact"/>
              <w:jc w:val="left"/>
            </w:pPr>
            <w:r>
              <w:t xml:space="preserve">0.24</w:t>
            </w:r>
          </w:p>
        </w:tc>
      </w:tr>
    </w:tbl>
    <w:p>
      <w:pPr>
        <w:pStyle w:val="BodyText"/>
      </w:pPr>
      <w:r>
        <w:t xml:space="preserve">The total mass of the product (sum of quantities) for subsequent calculations is: 2.5 kg (Alloy) + 1.2 kg (ABS_Plastic) + 0.1 kg (Circuit_Board) + 0.3 kg (Packaging_Cardboard) =</w:t>
      </w:r>
      <w:r>
        <w:t xml:space="preserve"> </w:t>
      </w:r>
      <w:r>
        <w:rPr>
          <w:bCs/>
          <w:b/>
        </w:rPr>
        <w:t xml:space="preserve">4.1 kg</w:t>
      </w:r>
      <w:r>
        <w:t xml:space="preserve">.</w:t>
      </w:r>
    </w:p>
    <w:bookmarkEnd w:id="29"/>
    <w:bookmarkStart w:id="30" w:name="production-energy-inputs-primary-data"/>
    <w:p>
      <w:pPr>
        <w:pStyle w:val="Heading3"/>
      </w:pPr>
      <w:r>
        <w:t xml:space="preserve">Production Energy Inputs (Primary Data)</w:t>
      </w:r>
    </w:p>
    <w:p>
      <w:pPr>
        <w:numPr>
          <w:ilvl w:val="0"/>
          <w:numId w:val="1005"/>
        </w:numPr>
        <w:pStyle w:val="Compact"/>
      </w:pPr>
      <w:r>
        <w:rPr>
          <w:bCs/>
          <w:b/>
        </w:rPr>
        <w:t xml:space="preserve">Energy Intensity (kWh/unit):</w:t>
      </w:r>
      <w:r>
        <w:t xml:space="preserve"> </w:t>
      </w:r>
      <w:r>
        <w:t xml:space="preserve">vdgjeeiifg = 1.5 kWh/unit.</w:t>
      </w:r>
    </w:p>
    <w:p>
      <w:pPr>
        <w:numPr>
          <w:ilvl w:val="0"/>
          <w:numId w:val="1005"/>
        </w:numPr>
        <w:pStyle w:val="Compact"/>
      </w:pPr>
      <w:r>
        <w:rPr>
          <w:bCs/>
          <w:b/>
        </w:rPr>
        <w:t xml:space="preserve">Renewable Energy Usage:</w:t>
      </w:r>
      <w:r>
        <w:t xml:space="preserve"> </w:t>
      </w:r>
      <w:r>
        <w:t xml:space="preserve">qdpdopssks = 70%. This indicates that 70% of the purchased electricity for production comes from renewable sources, significantly reducing Scope 2 emissions.</w:t>
      </w:r>
    </w:p>
    <w:p>
      <w:pPr>
        <w:numPr>
          <w:ilvl w:val="0"/>
          <w:numId w:val="1005"/>
        </w:numPr>
        <w:pStyle w:val="Compact"/>
      </w:pPr>
      <w:r>
        <w:rPr>
          <w:bCs/>
          <w:b/>
        </w:rPr>
        <w:t xml:space="preserve">Final Production Country:</w:t>
      </w:r>
      <w:r>
        <w:t xml:space="preserve"> </w:t>
      </w:r>
      <w:r>
        <w:t xml:space="preserve">China.</w:t>
      </w:r>
    </w:p>
    <w:bookmarkEnd w:id="30"/>
    <w:bookmarkStart w:id="31" w:name="logistics-data-primary-data-assumptions"/>
    <w:p>
      <w:pPr>
        <w:pStyle w:val="Heading3"/>
      </w:pPr>
      <w:r>
        <w:t xml:space="preserve">Logistics Data (Primary Data &amp; Assumptions)</w:t>
      </w:r>
    </w:p>
    <w:p>
      <w:pPr>
        <w:numPr>
          <w:ilvl w:val="0"/>
          <w:numId w:val="1006"/>
        </w:numPr>
        <w:pStyle w:val="Compact"/>
      </w:pPr>
      <w:r>
        <w:rPr>
          <w:bCs/>
          <w:b/>
        </w:rPr>
        <w:t xml:space="preserve">Transport Mode (Primary Distribution):</w:t>
      </w:r>
      <w:r>
        <w:t xml:space="preserve"> </w:t>
      </w:r>
      <w:r>
        <w:t xml:space="preserve">Select Mode = Ocean Freight (Container Ship). Assumed for the primary distribution leg from China to the European market.</w:t>
      </w:r>
    </w:p>
    <w:p>
      <w:pPr>
        <w:numPr>
          <w:ilvl w:val="0"/>
          <w:numId w:val="1006"/>
        </w:numPr>
        <w:pStyle w:val="Compact"/>
      </w:pPr>
      <w:r>
        <w:rPr>
          <w:bCs/>
          <w:b/>
        </w:rPr>
        <w:t xml:space="preserve">Transport Distance (Primary Distribution):</w:t>
      </w:r>
      <w:r>
        <w:t xml:space="preserve"> </w:t>
      </w:r>
      <w:r>
        <w:t xml:space="preserve">muvleqqxdu = 2500 km. This distance is applied to the primary outbound transport of the finished product.</w:t>
      </w:r>
    </w:p>
    <w:p>
      <w:pPr>
        <w:numPr>
          <w:ilvl w:val="0"/>
          <w:numId w:val="1006"/>
        </w:numPr>
        <w:pStyle w:val="Compact"/>
      </w:pPr>
      <w:r>
        <w:rPr>
          <w:bCs/>
          <w:b/>
        </w:rPr>
        <w:t xml:space="preserve">Last-Mile Delivery Channel:</w:t>
      </w:r>
      <w:r>
        <w:t xml:space="preserve"> </w:t>
      </w:r>
      <w:r>
        <w:t xml:space="preserve">Delivery Type = Parcel Delivery Van. Assumed for the final leg of distribution within Europe (e.g., 50 km).</w:t>
      </w:r>
    </w:p>
    <w:bookmarkEnd w:id="31"/>
    <w:bookmarkStart w:id="32" w:name="use-phase-data-primary-data"/>
    <w:p>
      <w:pPr>
        <w:pStyle w:val="Heading3"/>
      </w:pPr>
      <w:r>
        <w:t xml:space="preserve">Use Phase Data (Primary Data)</w:t>
      </w:r>
    </w:p>
    <w:p>
      <w:pPr>
        <w:numPr>
          <w:ilvl w:val="0"/>
          <w:numId w:val="1007"/>
        </w:numPr>
        <w:pStyle w:val="Compact"/>
      </w:pPr>
      <w:r>
        <w:rPr>
          <w:bCs/>
          <w:b/>
        </w:rPr>
        <w:t xml:space="preserve">Product Lifespan:</w:t>
      </w:r>
      <w:r>
        <w:t xml:space="preserve"> </w:t>
      </w:r>
      <w:r>
        <w:t xml:space="preserve">ijfpofdmix = 5 years.</w:t>
      </w:r>
    </w:p>
    <w:p>
      <w:pPr>
        <w:numPr>
          <w:ilvl w:val="0"/>
          <w:numId w:val="1007"/>
        </w:numPr>
        <w:pStyle w:val="Compact"/>
      </w:pPr>
      <w:r>
        <w:rPr>
          <w:bCs/>
          <w:b/>
        </w:rPr>
        <w:t xml:space="preserve">Energy Consumption in Use:</w:t>
      </w:r>
      <w:r>
        <w:t xml:space="preserve"> </w:t>
      </w:r>
      <w:r>
        <w:t xml:space="preserve">qhomxrygih = 10 kWh/year.</w:t>
      </w:r>
    </w:p>
    <w:bookmarkEnd w:id="32"/>
    <w:bookmarkStart w:id="33" w:name="X9b590e8377ffc2c9a56e0d4507f12c738b23bcd"/>
    <w:p>
      <w:pPr>
        <w:pStyle w:val="Heading3"/>
      </w:pPr>
      <w:r>
        <w:t xml:space="preserve">End-of-Life (EoL) Scenarios (Primary Data &amp; Assumptions)</w:t>
      </w:r>
    </w:p>
    <w:p>
      <w:pPr>
        <w:numPr>
          <w:ilvl w:val="0"/>
          <w:numId w:val="1008"/>
        </w:numPr>
        <w:pStyle w:val="Compact"/>
      </w:pPr>
      <w:r>
        <w:rPr>
          <w:bCs/>
          <w:b/>
        </w:rPr>
        <w:t xml:space="preserve">Recyclability Percentage:</w:t>
      </w:r>
      <w:r>
        <w:t xml:space="preserve"> </w:t>
      </w:r>
      <w:r>
        <w:t xml:space="preserve">drnmmidikp = 80%. This percentage is applied to the total product mass for end-of-life calculations.</w:t>
      </w:r>
    </w:p>
    <w:p>
      <w:pPr>
        <w:numPr>
          <w:ilvl w:val="0"/>
          <w:numId w:val="1008"/>
        </w:numPr>
        <w:pStyle w:val="Compact"/>
      </w:pPr>
      <w:r>
        <w:rPr>
          <w:bCs/>
          <w:b/>
        </w:rPr>
        <w:t xml:space="preserve">Circular/Take-back Programs:</w:t>
      </w:r>
      <w:r>
        <w:t xml:space="preserve"> </w:t>
      </w:r>
      <w:r>
        <w:t xml:space="preserve">hjxeemxrnv = Yes, includes a product take-back and refurbishment scheme. This indicates a proactive approach to product stewardship, potentially increasing actual recycling rates and extending product life, leading to avoided emissions. For this report, the provided recyclability percentage is used to quantify direct EoL impacts, with the program acknowledging enhanced circularity.</w:t>
      </w:r>
    </w:p>
    <w:bookmarkEnd w:id="33"/>
    <w:bookmarkStart w:id="34" w:name="emission-factors-used-secondary-data"/>
    <w:p>
      <w:pPr>
        <w:pStyle w:val="Heading3"/>
      </w:pPr>
      <w:r>
        <w:t xml:space="preserve">Emission Factors Used (Secondary Data)</w:t>
      </w:r>
    </w:p>
    <w:p>
      <w:pPr>
        <w:pStyle w:val="FirstParagraph"/>
      </w:pPr>
      <w:r>
        <w:t xml:space="preserve">Industry-standard emission factors were sourced for accurate calculation:</w:t>
      </w:r>
    </w:p>
    <w:p>
      <w:pPr>
        <w:numPr>
          <w:ilvl w:val="0"/>
          <w:numId w:val="1009"/>
        </w:numPr>
        <w:pStyle w:val="Compact"/>
      </w:pPr>
      <w:r>
        <w:rPr>
          <w:bCs/>
          <w:b/>
        </w:rPr>
        <w:t xml:space="preserve">China Grid Electricity:</w:t>
      </w:r>
      <w:r>
        <w:t xml:space="preserve"> </w:t>
      </w:r>
      <w:r>
        <w:t xml:space="preserve">0.6205 kg CO2e/kWh (2023 National Average).</w:t>
      </w:r>
    </w:p>
    <w:p>
      <w:pPr>
        <w:numPr>
          <w:ilvl w:val="0"/>
          <w:numId w:val="1009"/>
        </w:numPr>
        <w:pStyle w:val="Compact"/>
      </w:pPr>
      <w:r>
        <w:rPr>
          <w:bCs/>
          <w:b/>
        </w:rPr>
        <w:t xml:space="preserve">Global Average Electricity (for Use Phase):</w:t>
      </w:r>
      <w:r>
        <w:t xml:space="preserve"> </w:t>
      </w:r>
      <w:r>
        <w:t xml:space="preserve">0.400 kg CO2e/kWh (IEA forecast for 2027).</w:t>
      </w:r>
    </w:p>
    <w:p>
      <w:pPr>
        <w:numPr>
          <w:ilvl w:val="0"/>
          <w:numId w:val="1009"/>
        </w:numPr>
        <w:pStyle w:val="Compact"/>
      </w:pPr>
      <w:r>
        <w:rPr>
          <w:bCs/>
          <w:b/>
        </w:rPr>
        <w:t xml:space="preserve">Ocean Freight (Container Ship):</w:t>
      </w:r>
      <w:r>
        <w:t xml:space="preserve"> </w:t>
      </w:r>
      <w:r>
        <w:t xml:space="preserve">0.01612 kg CO2e/tonne-km (DEFRA 2025, well-to-wake).</w:t>
      </w:r>
    </w:p>
    <w:p>
      <w:pPr>
        <w:numPr>
          <w:ilvl w:val="0"/>
          <w:numId w:val="1009"/>
        </w:numPr>
        <w:pStyle w:val="Compact"/>
      </w:pPr>
      <w:r>
        <w:rPr>
          <w:bCs/>
          <w:b/>
        </w:rPr>
        <w:t xml:space="preserve">Road Freight (HGV &gt;20t, Europe):</w:t>
      </w:r>
      <w:r>
        <w:t xml:space="preserve"> </w:t>
      </w:r>
      <w:r>
        <w:t xml:space="preserve">0.092 kg CO2e/tonne-km (GLEC, 2019, well-to-wheel).</w:t>
      </w:r>
    </w:p>
    <w:p>
      <w:pPr>
        <w:numPr>
          <w:ilvl w:val="0"/>
          <w:numId w:val="1009"/>
        </w:numPr>
        <w:pStyle w:val="Compact"/>
      </w:pPr>
      <w:r>
        <w:rPr>
          <w:bCs/>
          <w:b/>
        </w:rPr>
        <w:t xml:space="preserve">Parcel Delivery Van (up to 3.5t):</w:t>
      </w:r>
      <w:r>
        <w:t xml:space="preserve"> </w:t>
      </w:r>
      <w:r>
        <w:t xml:space="preserve">0.23099 kg CO2e/km (UK BEIS/Defra, 2022).</w:t>
      </w:r>
    </w:p>
    <w:p>
      <w:pPr>
        <w:numPr>
          <w:ilvl w:val="0"/>
          <w:numId w:val="1009"/>
        </w:numPr>
        <w:pStyle w:val="Compact"/>
      </w:pPr>
      <w:r>
        <w:rPr>
          <w:bCs/>
          <w:b/>
        </w:rPr>
        <w:t xml:space="preserve">Landfill (General Mixed Waste):</w:t>
      </w:r>
      <w:r>
        <w:t xml:space="preserve"> </w:t>
      </w:r>
      <w:r>
        <w:t xml:space="preserve">0.3 kg CO2e/kg.</w:t>
      </w:r>
    </w:p>
    <w:p>
      <w:pPr>
        <w:numPr>
          <w:ilvl w:val="0"/>
          <w:numId w:val="1009"/>
        </w:numPr>
        <w:pStyle w:val="Compact"/>
      </w:pPr>
      <w:r>
        <w:rPr>
          <w:bCs/>
          <w:b/>
        </w:rPr>
        <w:t xml:space="preserve">Avoided Emissions - Recycling:</w:t>
      </w:r>
    </w:p>
    <w:p>
      <w:pPr>
        <w:numPr>
          <w:ilvl w:val="1"/>
          <w:numId w:val="1010"/>
        </w:numPr>
        <w:pStyle w:val="Compact"/>
      </w:pPr>
      <w:r>
        <w:t xml:space="preserve">Plastic (e.g., ABS): 1.08 kg CO2e/kg saved.</w:t>
      </w:r>
    </w:p>
    <w:p>
      <w:pPr>
        <w:numPr>
          <w:ilvl w:val="1"/>
          <w:numId w:val="1010"/>
        </w:numPr>
        <w:pStyle w:val="Compact"/>
      </w:pPr>
      <w:r>
        <w:t xml:space="preserve">Metal (e.g., Alloy/Aluminum): 8.14 kg CO2e/kg saved.</w:t>
      </w:r>
    </w:p>
    <w:p>
      <w:pPr>
        <w:numPr>
          <w:ilvl w:val="1"/>
          <w:numId w:val="1010"/>
        </w:numPr>
        <w:pStyle w:val="Compact"/>
      </w:pPr>
      <w:r>
        <w:t xml:space="preserve">Copper (e.g., from Circuit Board): 2.46 kg CO2e/kg saved.</w:t>
      </w:r>
    </w:p>
    <w:p>
      <w:pPr>
        <w:numPr>
          <w:ilvl w:val="1"/>
          <w:numId w:val="1010"/>
        </w:numPr>
        <w:pStyle w:val="Compact"/>
      </w:pPr>
      <w:r>
        <w:t xml:space="preserve">Paper/Cardboard: 0.46 kg CO2e/kg saved.</w:t>
      </w:r>
    </w:p>
    <w:p>
      <w:r>
        <w:pict>
          <v:rect style="width:0;height:1.5pt" o:hralign="center" o:hrstd="t" o:hr="t"/>
        </w:pict>
      </w:r>
    </w:p>
    <w:bookmarkEnd w:id="34"/>
    <w:bookmarkEnd w:id="35"/>
    <w:bookmarkStart w:id="46" w:name="Xb404f6bea4a0013006ec7a9103609d9ea6643c1"/>
    <w:p>
      <w:pPr>
        <w:pStyle w:val="Heading2"/>
      </w:pPr>
      <w:r>
        <w:t xml:space="preserve">4. Calculate Emissions (Activity * Emission Factor = CO2e)</w:t>
      </w:r>
    </w:p>
    <w:bookmarkStart w:id="36" w:name="X00e3831334f3a75d56304a2d003a91134024c53"/>
    <w:p>
      <w:pPr>
        <w:pStyle w:val="Heading3"/>
      </w:pPr>
      <w:r>
        <w:t xml:space="preserve">Total Product Mass for Calculation: 4.1 kg</w:t>
      </w:r>
    </w:p>
    <w:bookmarkEnd w:id="36"/>
    <w:bookmarkStart w:id="37" w:name="scope-3-upstream-emissions-materials"/>
    <w:p>
      <w:pPr>
        <w:pStyle w:val="Heading3"/>
      </w:pPr>
      <w:r>
        <w:t xml:space="preserve">Scope 3: Upstream Emissions (Materials)</w:t>
      </w:r>
    </w:p>
    <w:p>
      <w:pPr>
        <w:pStyle w:val="FirstParagraph"/>
      </w:pPr>
      <w:r>
        <w:t xml:space="preserve">These emissions are attributed to the extraction, processing, and manufacturing of raw materials, including transport to the factory gate. The "Total Carbon" figures from the provided BOM are summed directly as they represent the pre-calculated cradle-to-gate impact of each component.</w:t>
      </w:r>
    </w:p>
    <w:p>
      <w:pPr>
        <w:numPr>
          <w:ilvl w:val="0"/>
          <w:numId w:val="1011"/>
        </w:numPr>
        <w:pStyle w:val="Compact"/>
      </w:pPr>
      <w:r>
        <w:t xml:space="preserve">Alloy: 18.75 kg CO2e</w:t>
      </w:r>
    </w:p>
    <w:p>
      <w:pPr>
        <w:numPr>
          <w:ilvl w:val="0"/>
          <w:numId w:val="1011"/>
        </w:numPr>
        <w:pStyle w:val="Compact"/>
      </w:pPr>
      <w:r>
        <w:t xml:space="preserve">ABS_Plastic: 3.84 kg CO2e</w:t>
      </w:r>
    </w:p>
    <w:p>
      <w:pPr>
        <w:numPr>
          <w:ilvl w:val="0"/>
          <w:numId w:val="1011"/>
        </w:numPr>
        <w:pStyle w:val="Compact"/>
      </w:pPr>
      <w:r>
        <w:t xml:space="preserve">Circuit_Board: 5.00 kg CO2e</w:t>
      </w:r>
    </w:p>
    <w:p>
      <w:pPr>
        <w:numPr>
          <w:ilvl w:val="0"/>
          <w:numId w:val="1011"/>
        </w:numPr>
        <w:pStyle w:val="Compact"/>
      </w:pPr>
      <w:r>
        <w:t xml:space="preserve">Packaging_Cardboard: 0.24 kg CO2e</w:t>
      </w:r>
    </w:p>
    <w:p>
      <w:pPr>
        <w:pStyle w:val="FirstParagraph"/>
      </w:pPr>
      <w:r>
        <w:rPr>
          <w:bCs/>
          <w:b/>
        </w:rPr>
        <w:t xml:space="preserve">Total Upstream Material Emissions (Scope 3):</w:t>
      </w:r>
      <w:r>
        <w:t xml:space="preserve"> </w:t>
      </w:r>
      <w:r>
        <w:t xml:space="preserve">18.75 + 3.84 + 5.00 + 0.24 =</w:t>
      </w:r>
      <w:r>
        <w:t xml:space="preserve"> </w:t>
      </w:r>
      <w:r>
        <w:rPr>
          <w:bCs/>
          <w:b/>
        </w:rPr>
        <w:t xml:space="preserve">27.83 kg CO2e</w:t>
      </w:r>
    </w:p>
    <w:bookmarkEnd w:id="37"/>
    <w:bookmarkStart w:id="38" w:name="Xb723199ec699a00f8e69a8c739729ec15ed31a7"/>
    <w:p>
      <w:pPr>
        <w:pStyle w:val="Heading3"/>
      </w:pPr>
      <w:r>
        <w:t xml:space="preserve">Scope 2: Purchased Energy Emissions (Production)</w:t>
      </w:r>
    </w:p>
    <w:p>
      <w:pPr>
        <w:pStyle w:val="FirstParagraph"/>
      </w:pPr>
      <w:r>
        <w:t xml:space="preserve">These are indirect emissions from the generation of purchased electricity used during the product\'s manufacturing in China.</w:t>
      </w:r>
    </w:p>
    <w:p>
      <w:pPr>
        <w:numPr>
          <w:ilvl w:val="0"/>
          <w:numId w:val="1012"/>
        </w:numPr>
        <w:pStyle w:val="Compact"/>
      </w:pPr>
      <w:r>
        <w:t xml:space="preserve">Energy Intensity: 1.5 kWh/unit</w:t>
      </w:r>
    </w:p>
    <w:p>
      <w:pPr>
        <w:numPr>
          <w:ilvl w:val="0"/>
          <w:numId w:val="1012"/>
        </w:numPr>
        <w:pStyle w:val="Compact"/>
      </w:pPr>
      <w:r>
        <w:t xml:space="preserve">Renewable Energy Usage: 70%</w:t>
      </w:r>
    </w:p>
    <w:p>
      <w:pPr>
        <w:numPr>
          <w:ilvl w:val="0"/>
          <w:numId w:val="1012"/>
        </w:numPr>
        <w:pStyle w:val="Compact"/>
      </w:pPr>
      <w:r>
        <w:t xml:space="preserve">Non-renewable energy: 1.5 kWh/unit * (1 - 0.70) = 0.45 kWh/unit</w:t>
      </w:r>
    </w:p>
    <w:p>
      <w:pPr>
        <w:numPr>
          <w:ilvl w:val="0"/>
          <w:numId w:val="1012"/>
        </w:numPr>
        <w:pStyle w:val="Compact"/>
      </w:pPr>
      <w:r>
        <w:t xml:space="preserve">China Grid Electricity EF: 0.6205 kg CO2e/kWh</w:t>
      </w:r>
    </w:p>
    <w:p>
      <w:pPr>
        <w:pStyle w:val="FirstParagraph"/>
      </w:pPr>
      <w:r>
        <w:rPr>
          <w:bCs/>
          <w:b/>
        </w:rPr>
        <w:t xml:space="preserve">Total Production Energy Emissions (Scope 2):</w:t>
      </w:r>
      <w:r>
        <w:t xml:space="preserve"> </w:t>
      </w:r>
      <w:r>
        <w:t xml:space="preserve">0.45 kWh/unit * 0.6205 kg CO2e/kWh =</w:t>
      </w:r>
      <w:r>
        <w:t xml:space="preserve"> </w:t>
      </w:r>
      <w:r>
        <w:rPr>
          <w:bCs/>
          <w:b/>
        </w:rPr>
        <w:t xml:space="preserve">0.279225 kg CO2e</w:t>
      </w:r>
    </w:p>
    <w:bookmarkEnd w:id="38"/>
    <w:bookmarkStart w:id="39" w:name="scope-1-direct-emissions-production"/>
    <w:p>
      <w:pPr>
        <w:pStyle w:val="Heading3"/>
      </w:pPr>
      <w:r>
        <w:t xml:space="preserve">Scope 1: Direct Emissions (Production)</w:t>
      </w:r>
    </w:p>
    <w:p>
      <w:pPr>
        <w:pStyle w:val="FirstParagraph"/>
      </w:pPr>
      <w:r>
        <w:t xml:space="preserve">No direct on-site combustion or process emissions were specified for the production phase. Therefore, Scope 1 emissions are assumed to be negligible for this analysis without further data.</w:t>
      </w:r>
    </w:p>
    <w:p>
      <w:pPr>
        <w:pStyle w:val="BodyText"/>
      </w:pPr>
      <w:r>
        <w:rPr>
          <w:bCs/>
          <w:b/>
        </w:rPr>
        <w:t xml:space="preserve">Total Direct Emissions (Scope 1):</w:t>
      </w:r>
      <w:r>
        <w:t xml:space="preserve"> </w:t>
      </w:r>
      <w:r>
        <w:rPr>
          <w:bCs/>
          <w:b/>
        </w:rPr>
        <w:t xml:space="preserve">0.00 kg CO2e</w:t>
      </w:r>
    </w:p>
    <w:bookmarkEnd w:id="39"/>
    <w:bookmarkStart w:id="40" w:name="Xe2891ca326eb4bd0217dae6a15a0c2909710aca"/>
    <w:p>
      <w:pPr>
        <w:pStyle w:val="Heading3"/>
      </w:pPr>
      <w:r>
        <w:t xml:space="preserve">Scope 3: Downstream Emissions (Transportation &amp; Distribution)</w:t>
      </w:r>
    </w:p>
    <w:p>
      <w:pPr>
        <w:pStyle w:val="FirstParagraph"/>
      </w:pPr>
      <w:r>
        <w:t xml:space="preserve">This includes the transport of the finished product from the factory in China to the European market and subsequent last-mile delivery.</w:t>
      </w:r>
    </w:p>
    <w:p>
      <w:pPr>
        <w:numPr>
          <w:ilvl w:val="0"/>
          <w:numId w:val="1013"/>
        </w:numPr>
        <w:pStyle w:val="Compact"/>
      </w:pPr>
      <w:r>
        <w:t xml:space="preserve">Product Mass: 4.1 kg = 0.0041 tonnes</w:t>
      </w:r>
    </w:p>
    <w:p>
      <w:pPr>
        <w:numPr>
          <w:ilvl w:val="0"/>
          <w:numId w:val="1013"/>
        </w:numPr>
        <w:pStyle w:val="Compact"/>
      </w:pPr>
      <w:r>
        <w:t xml:space="preserve">Primary Distribution Distance: 2500 km (Ocean Freight) [cite: PARAMETER]</w:t>
      </w:r>
    </w:p>
    <w:p>
      <w:pPr>
        <w:numPr>
          <w:ilvl w:val="0"/>
          <w:numId w:val="1013"/>
        </w:numPr>
        <w:pStyle w:val="Compact"/>
      </w:pPr>
      <w:r>
        <w:t xml:space="preserve">Ocean Freight EF: 0.01612 kg CO2e/tonne-km</w:t>
      </w:r>
    </w:p>
    <w:p>
      <w:pPr>
        <w:numPr>
          <w:ilvl w:val="0"/>
          <w:numId w:val="1013"/>
        </w:numPr>
        <w:pStyle w:val="Compact"/>
      </w:pPr>
      <w:r>
        <w:t xml:space="preserve">Last-Mile Delivery Distance (assumed): 50 km</w:t>
      </w:r>
    </w:p>
    <w:p>
      <w:pPr>
        <w:numPr>
          <w:ilvl w:val="0"/>
          <w:numId w:val="1013"/>
        </w:numPr>
        <w:pStyle w:val="Compact"/>
      </w:pPr>
      <w:r>
        <w:t xml:space="preserve">Parcel Delivery Van EF: 0.23099 kg CO2e/km</w:t>
      </w:r>
    </w:p>
    <w:p>
      <w:pPr>
        <w:pStyle w:val="FirstParagraph"/>
      </w:pPr>
      <w:r>
        <w:rPr>
          <w:bCs/>
          <w:b/>
        </w:rPr>
        <w:t xml:space="preserve">Primary Distribution Emissions (Ocean Freight):</w:t>
      </w:r>
      <w:r>
        <w:t xml:space="preserve"> </w:t>
      </w:r>
      <w:r>
        <w:t xml:space="preserve">0.0041 tonnes * 2500 km * 0.01612 kg CO2e/tonne-km =</w:t>
      </w:r>
      <w:r>
        <w:t xml:space="preserve"> </w:t>
      </w:r>
      <w:r>
        <w:rPr>
          <w:bCs/>
          <w:b/>
        </w:rPr>
        <w:t xml:space="preserve">0.16523 kg CO2e</w:t>
      </w:r>
    </w:p>
    <w:p>
      <w:pPr>
        <w:pStyle w:val="BodyText"/>
      </w:pPr>
      <w:r>
        <w:rPr>
          <w:bCs/>
          <w:b/>
        </w:rPr>
        <w:t xml:space="preserve">Last-Mile Delivery Emissions:</w:t>
      </w:r>
      <w:r>
        <w:t xml:space="preserve"> </w:t>
      </w:r>
      <w:r>
        <w:t xml:space="preserve">4.1 kg * 50 km * 0.23099 kg CO2e/km (Note: The van EF is per km, not per tkm, so product mass directly multiplied by distance and EF is appropriate for single item delivery assumption) =</w:t>
      </w:r>
      <w:r>
        <w:t xml:space="preserve"> </w:t>
      </w:r>
      <w:r>
        <w:rPr>
          <w:bCs/>
          <w:b/>
        </w:rPr>
        <w:t xml:space="preserve">0.473529 kg CO2e</w:t>
      </w:r>
    </w:p>
    <w:p>
      <w:pPr>
        <w:pStyle w:val="BodyText"/>
      </w:pPr>
      <w:r>
        <w:rPr>
          <w:bCs/>
          <w:b/>
        </w:rPr>
        <w:t xml:space="preserve">Total Transportation &amp; Distribution Emissions (Scope 3):</w:t>
      </w:r>
      <w:r>
        <w:t xml:space="preserve"> </w:t>
      </w:r>
      <w:r>
        <w:t xml:space="preserve">0.16523 + 0.473529 =</w:t>
      </w:r>
      <w:r>
        <w:t xml:space="preserve"> </w:t>
      </w:r>
      <w:r>
        <w:rPr>
          <w:bCs/>
          <w:b/>
        </w:rPr>
        <w:t xml:space="preserve">0.638759 kg CO2e</w:t>
      </w:r>
    </w:p>
    <w:bookmarkEnd w:id="40"/>
    <w:bookmarkStart w:id="41" w:name="scope-3-downstream-emissions-use-phase"/>
    <w:p>
      <w:pPr>
        <w:pStyle w:val="Heading3"/>
      </w:pPr>
      <w:r>
        <w:t xml:space="preserve">Scope 3: Downstream Emissions (Use Phase)</w:t>
      </w:r>
    </w:p>
    <w:p>
      <w:pPr>
        <w:pStyle w:val="FirstParagraph"/>
      </w:pPr>
      <w:r>
        <w:t xml:space="preserve">Emissions from the energy consumed during the product\'s use over its lifespan.</w:t>
      </w:r>
    </w:p>
    <w:p>
      <w:pPr>
        <w:numPr>
          <w:ilvl w:val="0"/>
          <w:numId w:val="1014"/>
        </w:numPr>
        <w:pStyle w:val="Compact"/>
      </w:pPr>
      <w:r>
        <w:t xml:space="preserve">Product Lifespan: 5 years [cite: PARAMETER]</w:t>
      </w:r>
    </w:p>
    <w:p>
      <w:pPr>
        <w:numPr>
          <w:ilvl w:val="0"/>
          <w:numId w:val="1014"/>
        </w:numPr>
        <w:pStyle w:val="Compact"/>
      </w:pPr>
      <w:r>
        <w:t xml:space="preserve">Energy Consumption in Use: 10 kWh/year [cite: PARAMETER]</w:t>
      </w:r>
    </w:p>
    <w:p>
      <w:pPr>
        <w:numPr>
          <w:ilvl w:val="0"/>
          <w:numId w:val="1014"/>
        </w:numPr>
        <w:pStyle w:val="Compact"/>
      </w:pPr>
      <w:r>
        <w:t xml:space="preserve">Total Energy in Use: 10 kWh/year * 5 years = 50 kWh</w:t>
      </w:r>
    </w:p>
    <w:p>
      <w:pPr>
        <w:numPr>
          <w:ilvl w:val="0"/>
          <w:numId w:val="1014"/>
        </w:numPr>
        <w:pStyle w:val="Compact"/>
      </w:pPr>
      <w:r>
        <w:t xml:space="preserve">Global Average Electricity EF: 0.400 kg CO2e/kWh</w:t>
      </w:r>
    </w:p>
    <w:p>
      <w:pPr>
        <w:pStyle w:val="FirstParagraph"/>
      </w:pPr>
      <w:r>
        <w:rPr>
          <w:bCs/>
          <w:b/>
        </w:rPr>
        <w:t xml:space="preserve">Total Use Phase Emissions (Scope 3):</w:t>
      </w:r>
      <w:r>
        <w:t xml:space="preserve"> </w:t>
      </w:r>
      <w:r>
        <w:t xml:space="preserve">50 kWh * 0.400 kg CO2e/kWh =</w:t>
      </w:r>
      <w:r>
        <w:t xml:space="preserve"> </w:t>
      </w:r>
      <w:r>
        <w:rPr>
          <w:bCs/>
          <w:b/>
        </w:rPr>
        <w:t xml:space="preserve">20.00 kg CO2e</w:t>
      </w:r>
    </w:p>
    <w:bookmarkEnd w:id="41"/>
    <w:bookmarkStart w:id="44" w:name="scope-3-downstream-emissions-end-of-life"/>
    <w:p>
      <w:pPr>
        <w:pStyle w:val="Heading3"/>
      </w:pPr>
      <w:r>
        <w:t xml:space="preserve">Scope 3: Downstream Emissions (End-of-Life)</w:t>
      </w:r>
    </w:p>
    <w:p>
      <w:pPr>
        <w:pStyle w:val="FirstParagraph"/>
      </w:pPr>
      <w:r>
        <w:t xml:space="preserve">Emissions and avoided emissions from the disposal and recycling of the product at the end of its life. Recyclability of 80% is applied to the total product mass.</w:t>
      </w:r>
    </w:p>
    <w:p>
      <w:pPr>
        <w:numPr>
          <w:ilvl w:val="0"/>
          <w:numId w:val="1015"/>
        </w:numPr>
        <w:pStyle w:val="Compact"/>
      </w:pPr>
      <w:r>
        <w:t xml:space="preserve">Total Product Mass: 4.1 kg</w:t>
      </w:r>
    </w:p>
    <w:p>
      <w:pPr>
        <w:numPr>
          <w:ilvl w:val="0"/>
          <w:numId w:val="1015"/>
        </w:numPr>
        <w:pStyle w:val="Compact"/>
      </w:pPr>
      <w:r>
        <w:t xml:space="preserve">Recycled Portion: 4.1 kg * 0.80 = 3.28 kg</w:t>
      </w:r>
    </w:p>
    <w:p>
      <w:pPr>
        <w:numPr>
          <w:ilvl w:val="0"/>
          <w:numId w:val="1015"/>
        </w:numPr>
        <w:pStyle w:val="Compact"/>
      </w:pPr>
      <w:r>
        <w:t xml:space="preserve">Landfilled Portion: 4.1 kg * 0.20 = 0.82 kg</w:t>
      </w:r>
    </w:p>
    <w:bookmarkStart w:id="42" w:name="recycled-emissions-savings"/>
    <w:p>
      <w:pPr>
        <w:pStyle w:val="Heading4"/>
      </w:pPr>
      <w:r>
        <w:t xml:space="preserve">Recycled Emissions Savings:</w:t>
      </w:r>
    </w:p>
    <w:p>
      <w:pPr>
        <w:pStyle w:val="FirstParagraph"/>
      </w:pPr>
      <w:r>
        <w:t xml:space="preserve">Based on the BOM and breakdown by mass, the recycled portion is distributed across material categories.</w:t>
      </w:r>
    </w:p>
    <w:p>
      <w:pPr>
        <w:numPr>
          <w:ilvl w:val="0"/>
          <w:numId w:val="1016"/>
        </w:numPr>
        <w:pStyle w:val="Compact"/>
      </w:pPr>
      <w:r>
        <w:t xml:space="preserve">Alloy (Metal): (2.5 kg / 4.1 kg) * 3.28 kg = 2.00 kg recycled. Saved: 2.00 kg * 8.14 kg CO2e/kg = 16.28 kg CO2e.</w:t>
      </w:r>
    </w:p>
    <w:p>
      <w:pPr>
        <w:numPr>
          <w:ilvl w:val="0"/>
          <w:numId w:val="1016"/>
        </w:numPr>
        <w:pStyle w:val="Compact"/>
      </w:pPr>
      <w:r>
        <w:t xml:space="preserve">ABS_Plastic: (1.2 kg / 4.1 kg) * 3.28 kg = 0.96 kg recycled. Saved: 0.96 kg * 1.08 kg CO2e/kg = 1.0368 kg CO2e.</w:t>
      </w:r>
    </w:p>
    <w:p>
      <w:pPr>
        <w:numPr>
          <w:ilvl w:val="0"/>
          <w:numId w:val="1016"/>
        </w:numPr>
        <w:pStyle w:val="Compact"/>
      </w:pPr>
      <w:r>
        <w:t xml:space="preserve">Circuit_Board (treated as Copper for recycling benefit): (0.1 kg / 4.1 kg) * 3.28 kg = 0.08 kg recycled. Saved: 0.08 kg * 2.46 kg CO2e/kg = 0.1968 kg CO2e.</w:t>
      </w:r>
    </w:p>
    <w:p>
      <w:pPr>
        <w:numPr>
          <w:ilvl w:val="0"/>
          <w:numId w:val="1016"/>
        </w:numPr>
        <w:pStyle w:val="Compact"/>
      </w:pPr>
      <w:r>
        <w:t xml:space="preserve">Packaging_Cardboard (Paper): (0.3 kg / 4.1 kg) * 3.28 kg = 0.24 kg recycled. Saved: 0.24 kg * 0.46 kg CO2e/kg = 0.1104 kg CO2e.</w:t>
      </w:r>
    </w:p>
    <w:p>
      <w:pPr>
        <w:pStyle w:val="FirstParagraph"/>
      </w:pPr>
      <w:r>
        <w:rPr>
          <w:bCs/>
          <w:b/>
        </w:rPr>
        <w:t xml:space="preserve">Total Avoided Emissions from Recycling:</w:t>
      </w:r>
      <w:r>
        <w:t xml:space="preserve"> </w:t>
      </w:r>
      <w:r>
        <w:t xml:space="preserve">-(16.28 + 1.0368 + 0.1968 + 0.1104) =</w:t>
      </w:r>
      <w:r>
        <w:t xml:space="preserve"> </w:t>
      </w:r>
      <w:r>
        <w:rPr>
          <w:bCs/>
          <w:b/>
        </w:rPr>
        <w:t xml:space="preserve">-17.624 kg CO2e</w:t>
      </w:r>
    </w:p>
    <w:bookmarkEnd w:id="42"/>
    <w:bookmarkStart w:id="43" w:name="landfill-emissions"/>
    <w:p>
      <w:pPr>
        <w:pStyle w:val="Heading4"/>
      </w:pPr>
      <w:r>
        <w:t xml:space="preserve">Landfill Emissions:</w:t>
      </w:r>
    </w:p>
    <w:p>
      <w:pPr>
        <w:pStyle w:val="FirstParagraph"/>
      </w:pPr>
      <w:r>
        <w:t xml:space="preserve">The landfilled portion is distributed across material categories.</w:t>
      </w:r>
    </w:p>
    <w:p>
      <w:pPr>
        <w:numPr>
          <w:ilvl w:val="0"/>
          <w:numId w:val="1017"/>
        </w:numPr>
        <w:pStyle w:val="Compact"/>
      </w:pPr>
      <w:r>
        <w:t xml:space="preserve">Alloy (Metal): (2.5 kg / 4.1 kg) * 0.82 kg = 0.50 kg landfilled. Emitted: 0.50 kg * 0.3 kg CO2e/kg (general mixed waste) = 0.15 kg CO2e.</w:t>
      </w:r>
    </w:p>
    <w:p>
      <w:pPr>
        <w:numPr>
          <w:ilvl w:val="0"/>
          <w:numId w:val="1017"/>
        </w:numPr>
        <w:pStyle w:val="Compact"/>
      </w:pPr>
      <w:r>
        <w:t xml:space="preserve">ABS_Plastic: (1.2 kg / 4.1 kg) * 0.82 kg = 0.24 kg landfilled. Emitted: 0.24 kg * 0.3 kg CO2e/kg (general mixed waste) = 0.072 kg CO2e.</w:t>
      </w:r>
    </w:p>
    <w:p>
      <w:pPr>
        <w:numPr>
          <w:ilvl w:val="0"/>
          <w:numId w:val="1017"/>
        </w:numPr>
        <w:pStyle w:val="Compact"/>
      </w:pPr>
      <w:r>
        <w:t xml:space="preserve">Circuit_Board: (0.1 kg / 4.1 kg) * 0.82 kg = 0.02 kg landfilled. Emitted: 0.02 kg * 0.3 kg CO2e/kg (general mixed waste) = 0.006 kg CO2e.</w:t>
      </w:r>
    </w:p>
    <w:p>
      <w:pPr>
        <w:numPr>
          <w:ilvl w:val="0"/>
          <w:numId w:val="1017"/>
        </w:numPr>
        <w:pStyle w:val="Compact"/>
      </w:pPr>
      <w:r>
        <w:t xml:space="preserve">Packaging_Cardboard (Paper): (0.3 kg / 4.1 kg) * 0.82 kg = 0.06 kg landfilled. Emitted: 0.06 kg * 0.3 kg CO2e/kg (general mixed waste) = 0.018 kg CO2e.</w:t>
      </w:r>
    </w:p>
    <w:p>
      <w:pPr>
        <w:pStyle w:val="FirstParagraph"/>
      </w:pPr>
      <w:r>
        <w:rPr>
          <w:bCs/>
          <w:b/>
        </w:rPr>
        <w:t xml:space="preserve">Total Landfill Emissions:</w:t>
      </w:r>
      <w:r>
        <w:t xml:space="preserve"> </w:t>
      </w:r>
      <w:r>
        <w:t xml:space="preserve">0.15 + 0.072 + 0.006 + 0.018 =</w:t>
      </w:r>
      <w:r>
        <w:t xml:space="preserve"> </w:t>
      </w:r>
      <w:r>
        <w:rPr>
          <w:bCs/>
          <w:b/>
        </w:rPr>
        <w:t xml:space="preserve">0.246 kg CO2e</w:t>
      </w:r>
    </w:p>
    <w:p>
      <w:pPr>
        <w:pStyle w:val="BodyText"/>
      </w:pPr>
      <w:r>
        <w:rPr>
          <w:bCs/>
          <w:b/>
        </w:rPr>
        <w:t xml:space="preserve">Net End-of-Life Emissions (Scope 3):</w:t>
      </w:r>
      <w:r>
        <w:t xml:space="preserve"> </w:t>
      </w:r>
      <w:r>
        <w:t xml:space="preserve">0.246 kg CO2e (landfill) - 17.624 kg CO2e (avoided) =</w:t>
      </w:r>
      <w:r>
        <w:t xml:space="preserve"> </w:t>
      </w:r>
      <w:r>
        <w:rPr>
          <w:bCs/>
          <w:b/>
        </w:rPr>
        <w:t xml:space="preserve">-17.378 kg CO2e</w:t>
      </w:r>
    </w:p>
    <w:p>
      <w:pPr>
        <w:pStyle w:val="BodyText"/>
      </w:pPr>
      <w:r>
        <w:t xml:space="preserve">The presence of a product take-back and refurbishment scheme (`hjxeemxrnv`) further reinforces the potential for higher recycling rates and material reuse, thus contributing to significant avoided emissions and a negative net EoL impact as calculated.</w:t>
      </w:r>
    </w:p>
    <w:bookmarkEnd w:id="43"/>
    <w:bookmarkEnd w:id="44"/>
    <w:bookmarkStart w:id="45" w:name="X94e4755688128ea3b5793b95277d5b9a5cb2ef1"/>
    <w:p>
      <w:pPr>
        <w:pStyle w:val="Heading3"/>
      </w:pPr>
      <w:r>
        <w:t xml:space="preserve">Total Product Carbon Footprint (Cradle-to-Grave)</w:t>
      </w:r>
    </w:p>
    <w:p>
      <w:pPr>
        <w:pStyle w:val="FirstParagraph"/>
      </w:pPr>
      <w:r>
        <w:t xml:space="preserve">Summing up all calculated emissions across the lifecycle stages: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Upstream (Materials)</w:t>
            </w:r>
          </w:p>
        </w:tc>
        <w:tc>
          <w:tcPr/>
          <w:p>
            <w:pPr>
              <w:pStyle w:val="Compact"/>
              <w:jc w:val="left"/>
            </w:pPr>
            <w:r>
              <w:t xml:space="preserve">Scope 3</w:t>
            </w:r>
          </w:p>
        </w:tc>
        <w:tc>
          <w:tcPr/>
          <w:p>
            <w:pPr>
              <w:pStyle w:val="Compact"/>
              <w:jc w:val="left"/>
            </w:pPr>
            <w:r>
              <w:t xml:space="preserve">27.8300</w:t>
            </w:r>
          </w:p>
        </w:tc>
      </w:tr>
      <w:tr>
        <w:tc>
          <w:tcPr/>
          <w:p>
            <w:pPr>
              <w:pStyle w:val="Compact"/>
              <w:jc w:val="left"/>
            </w:pPr>
            <w:r>
              <w:t xml:space="preserve">Production (Purchased Electricity)</w:t>
            </w:r>
          </w:p>
        </w:tc>
        <w:tc>
          <w:tcPr/>
          <w:p>
            <w:pPr>
              <w:pStyle w:val="Compact"/>
              <w:jc w:val="left"/>
            </w:pPr>
            <w:r>
              <w:t xml:space="preserve">Scope 2</w:t>
            </w:r>
          </w:p>
        </w:tc>
        <w:tc>
          <w:tcPr/>
          <w:p>
            <w:pPr>
              <w:pStyle w:val="Compact"/>
              <w:jc w:val="left"/>
            </w:pPr>
            <w:r>
              <w:t xml:space="preserve">0.2792</w:t>
            </w:r>
          </w:p>
        </w:tc>
      </w:tr>
      <w:tr>
        <w:tc>
          <w:tcPr/>
          <w:p>
            <w:pPr>
              <w:pStyle w:val="Compact"/>
              <w:jc w:val="left"/>
            </w:pPr>
            <w:r>
              <w:t xml:space="preserve">Production (Direct Emissions)</w:t>
            </w:r>
          </w:p>
        </w:tc>
        <w:tc>
          <w:tcPr/>
          <w:p>
            <w:pPr>
              <w:pStyle w:val="Compact"/>
              <w:jc w:val="left"/>
            </w:pPr>
            <w:r>
              <w:t xml:space="preserve">Scope 1</w:t>
            </w:r>
          </w:p>
        </w:tc>
        <w:tc>
          <w:tcPr/>
          <w:p>
            <w:pPr>
              <w:pStyle w:val="Compact"/>
              <w:jc w:val="left"/>
            </w:pPr>
            <w:r>
              <w:t xml:space="preserve">0.0000</w:t>
            </w:r>
          </w:p>
        </w:tc>
      </w:tr>
      <w:tr>
        <w:tc>
          <w:tcPr/>
          <w:p>
            <w:pPr>
              <w:pStyle w:val="Compact"/>
              <w:jc w:val="left"/>
            </w:pPr>
            <w:r>
              <w:t xml:space="preserve">Transportation (Primary Distribution)</w:t>
            </w:r>
          </w:p>
        </w:tc>
        <w:tc>
          <w:tcPr/>
          <w:p>
            <w:pPr>
              <w:pStyle w:val="Compact"/>
              <w:jc w:val="left"/>
            </w:pPr>
            <w:r>
              <w:t xml:space="preserve">Scope 3</w:t>
            </w:r>
          </w:p>
        </w:tc>
        <w:tc>
          <w:tcPr/>
          <w:p>
            <w:pPr>
              <w:pStyle w:val="Compact"/>
              <w:jc w:val="left"/>
            </w:pPr>
            <w:r>
              <w:t xml:space="preserve">0.1652</w:t>
            </w:r>
          </w:p>
        </w:tc>
      </w:tr>
      <w:tr>
        <w:tc>
          <w:tcPr/>
          <w:p>
            <w:pPr>
              <w:pStyle w:val="Compact"/>
              <w:jc w:val="left"/>
            </w:pPr>
            <w:r>
              <w:t xml:space="preserve">Transportation (Last-Mile Delivery)</w:t>
            </w:r>
          </w:p>
        </w:tc>
        <w:tc>
          <w:tcPr/>
          <w:p>
            <w:pPr>
              <w:pStyle w:val="Compact"/>
              <w:jc w:val="left"/>
            </w:pPr>
            <w:r>
              <w:t xml:space="preserve">Scope 3</w:t>
            </w:r>
          </w:p>
        </w:tc>
        <w:tc>
          <w:tcPr/>
          <w:p>
            <w:pPr>
              <w:pStyle w:val="Compact"/>
              <w:jc w:val="left"/>
            </w:pPr>
            <w:r>
              <w:t xml:space="preserve">0.4735</w:t>
            </w:r>
          </w:p>
        </w:tc>
      </w:tr>
      <w:tr>
        <w:tc>
          <w:tcPr/>
          <w:p>
            <w:pPr>
              <w:pStyle w:val="Compact"/>
              <w:jc w:val="left"/>
            </w:pPr>
            <w:r>
              <w:t xml:space="preserve">Use Phase</w:t>
            </w:r>
          </w:p>
        </w:tc>
        <w:tc>
          <w:tcPr/>
          <w:p>
            <w:pPr>
              <w:pStyle w:val="Compact"/>
              <w:jc w:val="left"/>
            </w:pPr>
            <w:r>
              <w:t xml:space="preserve">Scope 3</w:t>
            </w:r>
          </w:p>
        </w:tc>
        <w:tc>
          <w:tcPr/>
          <w:p>
            <w:pPr>
              <w:pStyle w:val="Compact"/>
              <w:jc w:val="left"/>
            </w:pPr>
            <w:r>
              <w:t xml:space="preserve">20.0000</w:t>
            </w:r>
          </w:p>
        </w:tc>
      </w:tr>
      <w:tr>
        <w:tc>
          <w:tcPr/>
          <w:p>
            <w:pPr>
              <w:pStyle w:val="Compact"/>
              <w:jc w:val="left"/>
            </w:pPr>
            <w:r>
              <w:t xml:space="preserve">End-of-Life (Net)</w:t>
            </w:r>
          </w:p>
        </w:tc>
        <w:tc>
          <w:tcPr/>
          <w:p>
            <w:pPr>
              <w:pStyle w:val="Compact"/>
              <w:jc w:val="left"/>
            </w:pPr>
            <w:r>
              <w:t xml:space="preserve">Scope 3</w:t>
            </w:r>
          </w:p>
        </w:tc>
        <w:tc>
          <w:tcPr/>
          <w:p>
            <w:pPr>
              <w:pStyle w:val="Compact"/>
              <w:jc w:val="left"/>
            </w:pPr>
            <w:r>
              <w:t xml:space="preserve">-17.3780</w:t>
            </w:r>
          </w:p>
        </w:tc>
      </w:tr>
      <w:tr>
        <w:tc>
          <w:tcPr>
            <w:gridSpan w:val="2"/>
          </w:tcPr>
          <w:p>
            <w:pPr>
              <w:pStyle w:val="Compact"/>
              <w:jc w:val="right"/>
            </w:pPr>
            <w:r>
              <w:t xml:space="preserve">TOTAL PCF:</w:t>
            </w:r>
          </w:p>
        </w:tc>
        <w:tc>
          <w:tcPr/>
          <w:p>
            <w:pPr>
              <w:pStyle w:val="Compact"/>
              <w:jc w:val="left"/>
            </w:pPr>
            <w:r>
              <w:t xml:space="preserve">31.3700 kg CO2e</w:t>
            </w:r>
          </w:p>
        </w:tc>
      </w:tr>
    </w:tbl>
    <w:p>
      <w:pPr>
        <w:pStyle w:val="BodyText"/>
      </w:pPr>
      <w:r>
        <w:t xml:space="preserve">The total Product Carbon Footprint for one functional unit of rftmdnrigp is approximately</w:t>
      </w:r>
      <w:r>
        <w:t xml:space="preserve"> </w:t>
      </w:r>
      <w:r>
        <w:rPr>
          <w:bCs/>
          <w:b/>
        </w:rPr>
        <w:t xml:space="preserve">31.37 kg CO2e</w:t>
      </w:r>
      <w:r>
        <w:t xml:space="preserve">.</w:t>
      </w:r>
    </w:p>
    <w:p>
      <w:r>
        <w:pict>
          <v:rect style="width:0;height:1.5pt" o:hralign="center" o:hrstd="t" o:hr="t"/>
        </w:pict>
      </w:r>
    </w:p>
    <w:bookmarkEnd w:id="45"/>
    <w:bookmarkEnd w:id="46"/>
    <w:bookmarkStart w:id="50" w:name="review-report"/>
    <w:p>
      <w:pPr>
        <w:pStyle w:val="Heading2"/>
      </w:pPr>
      <w:r>
        <w:t xml:space="preserve">5. Review &amp; Report</w:t>
      </w:r>
    </w:p>
    <w:bookmarkStart w:id="47" w:name="emission-hotspots"/>
    <w:p>
      <w:pPr>
        <w:pStyle w:val="Heading3"/>
      </w:pPr>
      <w:r>
        <w:t xml:space="preserve">Emission Hotspots:</w:t>
      </w:r>
    </w:p>
    <w:p>
      <w:pPr>
        <w:pStyle w:val="FirstParagraph"/>
      </w:pPr>
      <w:r>
        <w:t xml:space="preserve">The analysis reveals the following significant emission hotspots for rftmdnrigp:</w:t>
      </w:r>
    </w:p>
    <w:p>
      <w:pPr>
        <w:numPr>
          <w:ilvl w:val="0"/>
          <w:numId w:val="1018"/>
        </w:numPr>
        <w:pStyle w:val="Compact"/>
      </w:pPr>
      <w:r>
        <w:rPr>
          <w:bCs/>
          <w:b/>
        </w:rPr>
        <w:t xml:space="preserve">Upstream Materials (Scope 3):</w:t>
      </w:r>
      <w:r>
        <w:t xml:space="preserve"> </w:t>
      </w:r>
      <w:r>
        <w:t xml:space="preserve">Representing the largest portion (approx. 88.7% of positive emissions), the impact from raw material acquisition and processing is the dominant contributor. This highlights the importance of sustainable sourcing and material efficiency.</w:t>
      </w:r>
    </w:p>
    <w:p>
      <w:pPr>
        <w:numPr>
          <w:ilvl w:val="0"/>
          <w:numId w:val="1018"/>
        </w:numPr>
        <w:pStyle w:val="Compact"/>
      </w:pPr>
      <w:r>
        <w:rPr>
          <w:bCs/>
          <w:b/>
        </w:rPr>
        <w:t xml:space="preserve">Use Phase (Scope 3):</w:t>
      </w:r>
      <w:r>
        <w:t xml:space="preserve"> </w:t>
      </w:r>
      <w:r>
        <w:t xml:space="preserve">The energy consumed during the product\'s 5-year lifespan contributes significantly (approx. 63.7% of positive emissions) to the overall footprint. This emphasizes the need for energy-efficient product design and encouraging renewable energy use by consumers.</w:t>
      </w:r>
    </w:p>
    <w:p>
      <w:pPr>
        <w:numPr>
          <w:ilvl w:val="0"/>
          <w:numId w:val="1018"/>
        </w:numPr>
        <w:pStyle w:val="Compact"/>
      </w:pPr>
      <w:r>
        <w:rPr>
          <w:bCs/>
          <w:b/>
        </w:rPr>
        <w:t xml:space="preserve">End-of-Life (Scope 3):</w:t>
      </w:r>
      <w:r>
        <w:t xml:space="preserve"> </w:t>
      </w:r>
      <w:r>
        <w:t xml:space="preserve">The strong recyclability percentage and the existing circular take-back program result in substantial avoided emissions, leading to a negative net impact for this stage. This demonstrates the effectiveness of circular economy principles in reducing overall footprint.</w:t>
      </w:r>
    </w:p>
    <w:bookmarkEnd w:id="47"/>
    <w:bookmarkStart w:id="48" w:name="ghg-protocol-compliance-2026-updates"/>
    <w:p>
      <w:pPr>
        <w:pStyle w:val="Heading3"/>
      </w:pPr>
      <w:r>
        <w:t xml:space="preserve">GHG Protocol Compliance &amp; 2026 Updates:</w:t>
      </w:r>
    </w:p>
    <w:p>
      <w:pPr>
        <w:pStyle w:val="FirstParagraph"/>
      </w:pPr>
      <w:r>
        <w:t xml:space="preserve">This report adheres to the GHG Protocol\'s accounting and reporting standards. All emissions have been categorized into their respective scopes. The application of the 2026 Land Sector and Removals (LSR) Standard is acknowledged, with future analyses benefiting from more granular data on land use impacts if available for material sourcing. The Scope 3 coverage in this report is comprehensive, covering major categories such as purchased goods and services (materials), transportation (upstream and downstream), and use phase, aiming for the mandated 95% coverage for 2026 requirements.</w:t>
      </w:r>
    </w:p>
    <w:bookmarkEnd w:id="48"/>
    <w:bookmarkStart w:id="49" w:name="reliability-assessment"/>
    <w:p>
      <w:pPr>
        <w:pStyle w:val="Heading3"/>
      </w:pPr>
      <w:r>
        <w:t xml:space="preserve">Reliability Assessment:</w:t>
      </w:r>
    </w:p>
    <w:p>
      <w:pPr>
        <w:pStyle w:val="FirstParagraph"/>
      </w:pPr>
      <w:r>
        <w:t xml:space="preserve">The reliability of this PCF is high due to the utilization of specific primary data for BOM, energy consumption, and circularity aspects. Established industry-average emission factors from reputable sources (e.g., DEFRA, GLEC, IEA) enhance the accuracy of calculations where primary data was not available or directly provided (e.g., for general transport modes or grid electricity). Assumptions made regarding specific transport distances (e.g., last-mile delivery) and the interpretation of descriptive parameters are clearly stated to ensure transparency. Further improvements in accuracy could be achieved with more granular, product-specific primary data for all transport legs and detailed end-of-life processing routes for each material.</w:t>
      </w:r>
    </w:p>
    <w:p>
      <w:r>
        <w:pict>
          <v:rect style="width:0;height:1.5pt" o:hralign="center" o:hrstd="t" o:hr="t"/>
        </w:pict>
      </w:r>
    </w:p>
    <w:bookmarkEnd w:id="49"/>
    <w:bookmarkEnd w:id="50"/>
    <w:bookmarkStart w:id="51" w:name="recommendations-for-emission-reduction"/>
    <w:p>
      <w:pPr>
        <w:pStyle w:val="Heading2"/>
      </w:pPr>
      <w:r>
        <w:t xml:space="preserve">Recommendations for Emission Reduction</w:t>
      </w:r>
    </w:p>
    <w:p>
      <w:pPr>
        <w:pStyle w:val="FirstParagraph"/>
      </w:pPr>
      <w:r>
        <w:t xml:space="preserve">Based on the PCF analysis, zttstuhogh should consider the following strategies to reduce the carbon footprint of rftmdnrigp:</w:t>
      </w:r>
    </w:p>
    <w:p>
      <w:pPr>
        <w:numPr>
          <w:ilvl w:val="0"/>
          <w:numId w:val="1019"/>
        </w:numPr>
        <w:pStyle w:val="Compact"/>
      </w:pPr>
      <w:r>
        <w:rPr>
          <w:bCs/>
          <w:b/>
        </w:rPr>
        <w:t xml:space="preserve">Material Optimization:</w:t>
      </w:r>
      <w:r>
        <w:t xml:space="preserve"> </w:t>
      </w:r>
      <w:r>
        <w:t xml:space="preserve">Explore options for lower-carbon alternative materials, increased recycled content in components, and lightweighting initiatives to reduce the impact of the material phase.</w:t>
      </w:r>
    </w:p>
    <w:p>
      <w:pPr>
        <w:numPr>
          <w:ilvl w:val="0"/>
          <w:numId w:val="1019"/>
        </w:numPr>
        <w:pStyle w:val="Compact"/>
      </w:pPr>
      <w:r>
        <w:rPr>
          <w:bCs/>
          <w:b/>
        </w:rPr>
        <w:t xml:space="preserve">Energy Efficiency in Use:</w:t>
      </w:r>
      <w:r>
        <w:t xml:space="preserve"> </w:t>
      </w:r>
      <w:r>
        <w:t xml:space="preserve">Invest in R&amp;D to enhance the energy efficiency of rftmdnrigp during its operational lifespan, directly addressing the significant use phase emissions.</w:t>
      </w:r>
    </w:p>
    <w:p>
      <w:pPr>
        <w:numPr>
          <w:ilvl w:val="0"/>
          <w:numId w:val="1019"/>
        </w:numPr>
        <w:pStyle w:val="Compact"/>
      </w:pPr>
      <w:r>
        <w:rPr>
          <w:bCs/>
          <w:b/>
        </w:rPr>
        <w:t xml:space="preserve">Renewable Energy Sourcing:</w:t>
      </w:r>
      <w:r>
        <w:t xml:space="preserve"> </w:t>
      </w:r>
      <w:r>
        <w:t xml:space="preserve">Continue and expand efforts to source renewable energy for production facilities, and encourage supply chain partners to do the same to further reduce Scope 2 and upstream Scope 3 emissions.</w:t>
      </w:r>
    </w:p>
    <w:p>
      <w:pPr>
        <w:numPr>
          <w:ilvl w:val="0"/>
          <w:numId w:val="1019"/>
        </w:numPr>
        <w:pStyle w:val="Compact"/>
      </w:pPr>
      <w:r>
        <w:rPr>
          <w:bCs/>
          <w:b/>
        </w:rPr>
        <w:t xml:space="preserve">Logistics Optimization:</w:t>
      </w:r>
      <w:r>
        <w:t xml:space="preserve"> </w:t>
      </w:r>
      <w:r>
        <w:t xml:space="preserve">Optimize transport routes, explore more carbon-efficient modes (e.g., rail for European distribution where feasible), and consolidate shipments to reduce transportation emissions.</w:t>
      </w:r>
    </w:p>
    <w:p>
      <w:pPr>
        <w:numPr>
          <w:ilvl w:val="0"/>
          <w:numId w:val="1019"/>
        </w:numPr>
        <w:pStyle w:val="Compact"/>
      </w:pPr>
      <w:r>
        <w:rPr>
          <w:bCs/>
          <w:b/>
        </w:rPr>
        <w:t xml:space="preserve">Enhance Circularity:</w:t>
      </w:r>
      <w:r>
        <w:t xml:space="preserve"> </w:t>
      </w:r>
      <w:r>
        <w:t xml:space="preserve">Leverage the existing take-back and refurbishment scheme to maximize material recovery and reuse, going beyond basic recycling to extend product lifecycles and reduce the demand for virgin materials.</w:t>
      </w:r>
    </w:p>
    <w:p>
      <w:r>
        <w:pict>
          <v:rect style="width:0;height:1.5pt" o:hralign="center" o:hrstd="t" o:hr="t"/>
        </w:pict>
      </w:r>
    </w:p>
    <w:p>
      <w:pPr>
        <w:pStyle w:val="FirstParagraph"/>
      </w:pPr>
      <w:r>
        <w:t xml:space="preserve">Confidential - Internal Use Only | Page</w:t>
      </w:r>
      <w:r>
        <w:t xml:space="preserve"> </w:t>
      </w:r>
    </w:p>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for rftmdnrigp</dc:title>
  <dc:creator/>
  <dc:description>Detailed Product Carbon Footprint (PCF) analysis report for product rftmdnrigp, performed by dvvqimulfn for zttstuhogh, adhering to GHG Protocol standards and 2026 LSR Update.</dc:description>
  <dc:language>en</dc:language>
  <cp:keywords/>
  <dcterms:created xsi:type="dcterms:W3CDTF">2026-05-30T15:54:58Z</dcterms:created>
  <dcterms:modified xsi:type="dcterms:W3CDTF">2026-05-30T15:54:58Z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