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for</w:t>
      </w:r>
      <w:r>
        <w:t xml:space="preserve"> </w:t>
      </w:r>
      <w:r>
        <w:t xml:space="preserve">pylifyztue</w:t>
      </w:r>
    </w:p>
    <w:p>
      <w:pPr>
        <w:pStyle w:val="FirstParagraph"/>
      </w:pPr>
      <w:r>
        <w:t xml:space="preserve">carboncalcpcf.com</w:t>
      </w:r>
    </w:p>
    <w:bookmarkStart w:id="20" w:name="product-carbon-footprint-pcf-analysis"/>
    <w:p>
      <w:pPr>
        <w:pStyle w:val="Heading1"/>
      </w:pPr>
      <w:r>
        <w:t xml:space="preserve">Product Carbon Footprint (PCF) Analysis</w:t>
      </w:r>
    </w:p>
    <w:p>
      <w:pPr>
        <w:pStyle w:val="FirstParagraph"/>
      </w:pPr>
      <w:r>
        <w:t xml:space="preserve">For Product:</w:t>
      </w:r>
      <w:r>
        <w:t xml:space="preserve"> </w:t>
      </w:r>
      <w:r>
        <w:t xml:space="preserve">pylifyztue</w:t>
      </w:r>
    </w:p>
    <w:p>
      <w:pPr>
        <w:pStyle w:val="BodyText"/>
      </w:pPr>
      <w:r>
        <w:t xml:space="preserve">Company Name:</w:t>
      </w:r>
      <w:r>
        <w:t xml:space="preserve"> </w:t>
      </w:r>
      <w:r>
        <w:t xml:space="preserve">stntffrfde</w:t>
      </w:r>
    </w:p>
    <w:p>
      <w:pPr>
        <w:pStyle w:val="BodyText"/>
      </w:pPr>
      <w:r>
        <w:t xml:space="preserve">Protocol Data (Accounting Standard):</w:t>
      </w:r>
      <w:r>
        <w:t xml:space="preserve"> </w:t>
      </w:r>
      <w:r>
        <w:t xml:space="preserve">GHG Protocol</w:t>
      </w:r>
    </w:p>
    <w:p>
      <w:pPr>
        <w:pStyle w:val="BodyText"/>
      </w:pPr>
      <w:r>
        <w:t xml:space="preserve">Senior Sustainability Consultant:</w:t>
      </w:r>
      <w:r>
        <w:t xml:space="preserve"> </w:t>
      </w:r>
      <w:r>
        <w:t xml:space="preserve">slkoxyfkli</w:t>
      </w:r>
    </w:p>
    <w:p>
      <w:pPr>
        <w:pStyle w:val="BodyText"/>
      </w:pPr>
      <w:r>
        <w:t xml:space="preserve">Disclaimer: This report is generated based on available data and industry standards. While every effort has been made to ensure accuracy, the results are indicative and subject to the limitations of data availability and methodological assumptions.</w:t>
      </w:r>
    </w:p>
    <w:bookmarkEnd w:id="20"/>
    <w:bookmarkStart w:id="45" w:name="X1d8df44b3170280d1d073594f2a2606abda5dd7"/>
    <w:p>
      <w:pPr>
        <w:pStyle w:val="Heading1"/>
      </w:pPr>
      <w:r>
        <w:t xml:space="preserve">Product Carbon Footprint (PCF) Analysis for pylifyztue</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slkoxyfkli</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t xml:space="preserve">pylifyztue</w:t>
      </w:r>
      <w:r>
        <w:t xml:space="preserve">, manufactured by</w:t>
      </w:r>
      <w:r>
        <w:t xml:space="preserve"> </w:t>
      </w:r>
      <w:r>
        <w:t xml:space="preserve">stntffrfde</w:t>
      </w:r>
      <w:r>
        <w:t xml:space="preserve">. The analysis adheres to the</w:t>
      </w:r>
      <w:r>
        <w:t xml:space="preserve"> </w:t>
      </w:r>
      <w:r>
        <w:t xml:space="preserve">GHG Protocol</w:t>
      </w:r>
      <w:r>
        <w:t xml:space="preserve"> </w:t>
      </w:r>
      <w:r>
        <w:t xml:space="preserve">standards, providing a comprehensive assessment of greenhouse gas (GHG) emissions across the product\'s lifecycle from a cradle-to-grave perspective. The total carbon footprint for one functional unit of</w:t>
      </w:r>
      <w:r>
        <w:t xml:space="preserve"> </w:t>
      </w:r>
      <w:r>
        <w:t xml:space="preserve">pylifyztue</w:t>
      </w:r>
      <w:r>
        <w:t xml:space="preserve"> </w:t>
      </w:r>
      <w:r>
        <w:t xml:space="preserve">is calculated to be</w:t>
      </w:r>
      <w:r>
        <w:t xml:space="preserve"> </w:t>
      </w:r>
      <w:r>
        <w:t xml:space="preserve">33.67 kg CO2e</w:t>
      </w:r>
      <w:r>
        <w:t xml:space="preserve">. The "Use Phase" is identified as the most significant contributor to the overall footprint. This analysis incorporates specific Bill of Materials (BOM) data, transportation logistics, energy usage, product lifespan, and end-of-life scenarios to ensure a robust and actionable assessment.</w:t>
      </w:r>
    </w:p>
    <w:p>
      <w:r>
        <w:pict>
          <v:rect style="width:0;height:1.5pt" o:hralign="center" o:hrstd="t" o:hr="t"/>
        </w:pict>
      </w:r>
    </w:p>
    <w:bookmarkEnd w:id="21"/>
    <w:bookmarkStart w:id="24"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t xml:space="preserve">pylifyztue</w:t>
      </w:r>
      <w:r>
        <w:t xml:space="preserve"> </w:t>
      </w:r>
      <w:r>
        <w:t xml:space="preserve">follows the five-step methodology recommended by the GHG Protocol. This approach ensures a systematic and transparent quantification of greenhouse gas emissions throughout the product\'s lifecycle.</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study is</w:t>
      </w:r>
      <w:r>
        <w:t xml:space="preserve"> </w:t>
      </w:r>
      <w:r>
        <w:t xml:space="preserve">1.0 unit</w:t>
      </w:r>
      <w:r>
        <w:t xml:space="preserve"> </w:t>
      </w:r>
      <w:r>
        <w:t xml:space="preserve">of pylifyztue. All emissions are quantified per this unit.</w:t>
      </w:r>
    </w:p>
    <w:p>
      <w:pPr>
        <w:numPr>
          <w:ilvl w:val="0"/>
          <w:numId w:val="1001"/>
        </w:numPr>
        <w:pStyle w:val="Compact"/>
      </w:pPr>
      <w:r>
        <w:rPr>
          <w:bCs/>
          <w:b/>
        </w:rPr>
        <w:t xml:space="preserve">System Boundary:</w:t>
      </w:r>
      <w:r>
        <w:t xml:space="preserve"> </w:t>
      </w:r>
      <w:r>
        <w:t xml:space="preserve">While the initial parameter specified "factory_gate", a comprehensive Product Carbon Footprint requires a broader assessment. Therefore, this analysis has adopted a</w:t>
      </w:r>
      <w:r>
        <w:t xml:space="preserve"> </w:t>
      </w:r>
      <w:r>
        <w:t xml:space="preserve">cradle-to-grave</w:t>
      </w:r>
      <w:r>
        <w:t xml:space="preserve"> </w:t>
      </w:r>
      <w:r>
        <w:t xml:space="preserve">system boundary to include all relevant lifecycle stages: materials acquisition, manufacturing, transportation, use-phase, and end-of-life. This expansion ensures a holistic understanding of the product\'s environmental impact, capturing emissions beyond the factory gate as dictated by the detailed parameters provided.</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Allocation:</w:t>
      </w:r>
      <w:r>
        <w:t xml:space="preserve"> </w:t>
      </w:r>
      <w:r>
        <w:t xml:space="preserve">Environmental burdens and benefits are allocated across the product lifecycle based on established GHG Protocol principles. For multi-functional processes, allocation is performed using physical relationships (e.g., mass) where possible. For end-of-life recycling, the avoided burden approach (system expansion) has been applied, crediting the product system with the avoided production of virgin materials due to recycling.</w:t>
      </w:r>
    </w:p>
    <w:p>
      <w:pPr>
        <w:numPr>
          <w:ilvl w:val="0"/>
          <w:numId w:val="1001"/>
        </w:numPr>
        <w:pStyle w:val="Compact"/>
      </w:pPr>
      <w:r>
        <w:rPr>
          <w:bCs/>
          <w:b/>
        </w:rPr>
        <w:t xml:space="preserve">Accounting Standard:</w:t>
      </w:r>
      <w:r>
        <w:t xml:space="preserve"> </w:t>
      </w:r>
      <w:r>
        <w:t xml:space="preserve">This analysis strictly adheres to the</w:t>
      </w:r>
      <w:r>
        <w:t xml:space="preserve"> </w:t>
      </w:r>
      <w:r>
        <w:t xml:space="preserve">GHG Protocol (Product Standard and Corporate Value Chain (Scope 3) Standard)</w:t>
      </w:r>
      <w:r>
        <w:t xml:space="preserve"> </w:t>
      </w:r>
      <w:r>
        <w:t xml:space="preserve">for categorizing and quantifying emissions.</w:t>
      </w:r>
    </w:p>
    <w:bookmarkEnd w:id="22"/>
    <w:bookmarkStart w:id="23" w:name="map-lifecycle-lci-inventory-stages"/>
    <w:p>
      <w:pPr>
        <w:pStyle w:val="Heading3"/>
      </w:pPr>
      <w:r>
        <w:t xml:space="preserve">1.2. Map Lifecycle (LCI Inventory Stages)</w:t>
      </w:r>
    </w:p>
    <w:p>
      <w:pPr>
        <w:pStyle w:val="FirstParagraph"/>
      </w:pPr>
      <w:r>
        <w:t xml:space="preserve">The lifecycle of</w:t>
      </w:r>
      <w:r>
        <w:t xml:space="preserve"> </w:t>
      </w:r>
      <w:r>
        <w:t xml:space="preserve">pylifyztue</w:t>
      </w:r>
      <w:r>
        <w:t xml:space="preserve"> </w:t>
      </w:r>
      <w:r>
        <w:t xml:space="preserve">has been mapped into the following key stages to facilitate data collection and emission calculation:</w:t>
      </w:r>
    </w:p>
    <w:p>
      <w:pPr>
        <w:numPr>
          <w:ilvl w:val="0"/>
          <w:numId w:val="1003"/>
        </w:numPr>
        <w:pStyle w:val="Compact"/>
      </w:pPr>
      <w:r>
        <w:rPr>
          <w:bCs/>
          <w:b/>
        </w:rPr>
        <w:t xml:space="preserve">Materials Acquisition &amp; Pre-processing (Upstream):</w:t>
      </w:r>
      <w:r>
        <w:t xml:space="preserve"> </w:t>
      </w:r>
      <w:r>
        <w:t xml:space="preserve">Covers the extraction, production, and initial processing of all raw materials and components specified in the Detailed Bill of Materials (BOM). This falls under GHG Protocol Scope 3, Category 1 (Purchased Goods and Services).</w:t>
      </w:r>
    </w:p>
    <w:p>
      <w:pPr>
        <w:numPr>
          <w:ilvl w:val="0"/>
          <w:numId w:val="1003"/>
        </w:numPr>
        <w:pStyle w:val="Compact"/>
      </w:pPr>
      <w:r>
        <w:rPr>
          <w:bCs/>
          <w:b/>
        </w:rPr>
        <w:t xml:space="preserve">Manufacturing/Production (Core Operations):</w:t>
      </w:r>
      <w:r>
        <w:t xml:space="preserve"> </w:t>
      </w:r>
      <w:r>
        <w:t xml:space="preserve">Encompasses energy consumption and direct emissions from the assembly and manufacturing processes in the production facility. This includes Scope 1 (direct emissions) and Scope 2 (purchased electricity) emissions of stntffrfde.</w:t>
      </w:r>
    </w:p>
    <w:p>
      <w:pPr>
        <w:numPr>
          <w:ilvl w:val="0"/>
          <w:numId w:val="1003"/>
        </w:numPr>
        <w:pStyle w:val="Compact"/>
      </w:pPr>
      <w:r>
        <w:rPr>
          <w:bCs/>
          <w:b/>
        </w:rPr>
        <w:t xml:space="preserve">Transportation (Upstream &amp; Downstream):</w:t>
      </w:r>
      <w:r>
        <w:t xml:space="preserve"> </w:t>
      </w:r>
      <w:r>
        <w:t xml:space="preserve">Includes the transport of raw materials and components to the manufacturing facility (upstream) and the distribution of the finished product to the end-user (downstream). This falls under GHG Protocol Scope 3, Category 4 (Upstream Transportation and Distribution) and Category 9 (Downstream Transportation and Distribution).</w:t>
      </w:r>
    </w:p>
    <w:p>
      <w:pPr>
        <w:numPr>
          <w:ilvl w:val="0"/>
          <w:numId w:val="1003"/>
        </w:numPr>
        <w:pStyle w:val="Compact"/>
      </w:pPr>
      <w:r>
        <w:rPr>
          <w:bCs/>
          <w:b/>
        </w:rPr>
        <w:t xml:space="preserve">Use Phase (Downstream):</w:t>
      </w:r>
      <w:r>
        <w:t xml:space="preserve"> </w:t>
      </w:r>
      <w:r>
        <w:t xml:space="preserve">Accounts for the energy consumption during the expected lifespan of the product by the end-user. This is classified under GHG Protocol Scope 3, Category 11 (Use of Sold Products).</w:t>
      </w:r>
    </w:p>
    <w:p>
      <w:pPr>
        <w:numPr>
          <w:ilvl w:val="0"/>
          <w:numId w:val="1003"/>
        </w:numPr>
        <w:pStyle w:val="Compact"/>
      </w:pPr>
      <w:r>
        <w:rPr>
          <w:bCs/>
          <w:b/>
        </w:rPr>
        <w:t xml:space="preserve">End-of-Life (Downstream):</w:t>
      </w:r>
      <w:r>
        <w:t xml:space="preserve"> </w:t>
      </w:r>
      <w:r>
        <w:t xml:space="preserve">Addresses the emissions and potential credits associated with the disposal, recycling, or recovery of the product at the end of its functional life. This is classified under GHG Protocol Scope 3, Category 12 (End-of-Life Treatment of Sold Products).</w:t>
      </w:r>
    </w:p>
    <w:p>
      <w:r>
        <w:pict>
          <v:rect style="width:0;height:1.5pt" o:hralign="center" o:hrstd="t" o:hr="t"/>
        </w:pict>
      </w:r>
    </w:p>
    <w:bookmarkEnd w:id="23"/>
    <w:bookmarkEnd w:id="24"/>
    <w:bookmarkStart w:id="30" w:name="X95f9e1977ba035130886477762c71b77b34d7f8"/>
    <w:p>
      <w:pPr>
        <w:pStyle w:val="Heading2"/>
      </w:pPr>
      <w:r>
        <w:t xml:space="preserve">2. &amp; 3. Data Collection and Lifecycle Inventory (LCI)</w:t>
      </w:r>
    </w:p>
    <w:p>
      <w:pPr>
        <w:pStyle w:val="FirstParagraph"/>
      </w:pPr>
      <w:r>
        <w:t xml:space="preserve">Comprehensive data was collected for each lifecycle stage, prioritizing primary data where available and supplementing with high-quality secondary data from industry-standard databases (e.g., Ecoinvent, DEFRA) for emission factors.</w:t>
      </w:r>
    </w:p>
    <w:bookmarkStart w:id="25" w:name="X963b7ba0d6ee1c70c90910af7973b9b5547c8c4"/>
    <w:p>
      <w:pPr>
        <w:pStyle w:val="Heading3"/>
      </w:pPr>
      <w:r>
        <w:t xml:space="preserve">2.1. Detailed Bill of Materials (BOM) - zwxtxokj</w:t>
      </w:r>
    </w:p>
    <w:p>
      <w:pPr>
        <w:pStyle w:val="FirstParagraph"/>
      </w:pPr>
      <w:r>
        <w:t xml:space="preserve">The material impact calculation utilized the provided Detailed Bill of Materials (BOM) for</w:t>
      </w:r>
      <w:r>
        <w:t xml:space="preserve"> </w:t>
      </w:r>
      <w:r>
        <w:t xml:space="preserve">pylifyztue</w:t>
      </w:r>
      <w:r>
        <w:t xml:space="preserve">. The \'Total Carbon (kgCO2e)\' values were directly used as the emission contribution for each material component, representing the cradle-to-gate impact of acquiring and pre-processing these materials. This detailed data ensures a high-accuracy assessment of material impacts, avoiding default estimates.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r>
        <w:tc>
          <w:tcPr>
            <w:gridSpan w:val="7"/>
          </w:tcPr>
          <w:p>
            <w:pPr>
              <w:pStyle w:val="Compact"/>
              <w:jc w:val="right"/>
            </w:pPr>
            <w:r>
              <w:rPr>
                <w:bCs/>
                <w:b/>
              </w:rPr>
              <w:t xml:space="preserve">Total Material Carbon Impact (kg CO2e):</w:t>
            </w:r>
          </w:p>
        </w:tc>
        <w:tc>
          <w:tcPr/>
          <w:p>
            <w:pPr>
              <w:pStyle w:val="Compact"/>
              <w:jc w:val="left"/>
            </w:pPr>
            <w:r>
              <w:rPr>
                <w:bCs/>
                <w:b/>
              </w:rPr>
              <w:t xml:space="preserve">8.0</w:t>
            </w:r>
          </w:p>
        </w:tc>
      </w:tr>
    </w:tbl>
    <w:p>
      <w:pPr>
        <w:pStyle w:val="BodyText"/>
      </w:pPr>
      <w:r>
        <w:t xml:space="preserve">The total weight of the product for transport and end-of-life calculations is the sum of quantities: 0.5 + 0.3 + 0.1 + 0.2 + 0.05 + 0.1 =</w:t>
      </w:r>
      <w:r>
        <w:t xml:space="preserve"> </w:t>
      </w:r>
      <w:r>
        <w:t xml:space="preserve">1.25 kg</w:t>
      </w:r>
      <w:r>
        <w:t xml:space="preserve">.</w:t>
      </w:r>
    </w:p>
    <w:bookmarkEnd w:id="25"/>
    <w:bookmarkStart w:id="26" w:name="production-phase-energy-data"/>
    <w:p>
      <w:pPr>
        <w:pStyle w:val="Heading3"/>
      </w:pPr>
      <w:r>
        <w:t xml:space="preserve">2.2. Production Phase Energy Data</w:t>
      </w:r>
    </w:p>
    <w:p>
      <w:pPr>
        <w:numPr>
          <w:ilvl w:val="0"/>
          <w:numId w:val="1004"/>
        </w:numPr>
        <w:pStyle w:val="Compact"/>
      </w:pPr>
      <w:r>
        <w:rPr>
          <w:bCs/>
          <w:b/>
        </w:rPr>
        <w:t xml:space="preserve">Renewable Energy Usage:</w:t>
      </w:r>
      <w:r>
        <w:t xml:space="preserve"> </w:t>
      </w:r>
      <w:r>
        <w:t xml:space="preserve">60%</w:t>
      </w:r>
      <w:r>
        <w:t xml:space="preserve"> </w:t>
      </w:r>
      <w:r>
        <w:t xml:space="preserve">of electricity consumed in the production facility is sourced from renewable energy.</w:t>
      </w:r>
    </w:p>
    <w:p>
      <w:pPr>
        <w:numPr>
          <w:ilvl w:val="0"/>
          <w:numId w:val="1004"/>
        </w:numPr>
        <w:pStyle w:val="Compact"/>
      </w:pPr>
      <w:r>
        <w:rPr>
          <w:bCs/>
          <w:b/>
        </w:rPr>
        <w:t xml:space="preserve">Energy Intensity (kWh/unit):</w:t>
      </w:r>
      <w:r>
        <w:t xml:space="preserve"> </w:t>
      </w:r>
      <w:r>
        <w:t xml:space="preserve">8.5 kWh/unit</w:t>
      </w:r>
      <w:r>
        <w:t xml:space="preserve"> </w:t>
      </w:r>
      <w:r>
        <w:t xml:space="preserve">is consumed during the manufacturing process for each unit of pylifyztue.</w:t>
      </w:r>
    </w:p>
    <w:p>
      <w:pPr>
        <w:numPr>
          <w:ilvl w:val="0"/>
          <w:numId w:val="1004"/>
        </w:numPr>
        <w:pStyle w:val="Compact"/>
      </w:pPr>
      <w:r>
        <w:rPr>
          <w:bCs/>
          <w:b/>
        </w:rPr>
        <w:t xml:space="preserve">Grid Emission Factor (China):</w:t>
      </w:r>
      <w:r>
        <w:t xml:space="preserve"> </w:t>
      </w:r>
      <w:r>
        <w:t xml:space="preserve">For the non-renewable portion of electricity, a grid emission factor of</w:t>
      </w:r>
      <w:r>
        <w:t xml:space="preserve"> </w:t>
      </w:r>
      <w:r>
        <w:t xml:space="preserve">0.6 kg CO2e/kWh</w:t>
      </w:r>
      <w:r>
        <w:t xml:space="preserve"> </w:t>
      </w:r>
      <w:r>
        <w:t xml:space="preserve">is used, reflecting the typical energy mix in China.</w:t>
      </w:r>
    </w:p>
    <w:bookmarkEnd w:id="26"/>
    <w:bookmarkStart w:id="27" w:name="transport-logistics-data"/>
    <w:p>
      <w:pPr>
        <w:pStyle w:val="Heading3"/>
      </w:pPr>
      <w:r>
        <w:t xml:space="preserve">2.3. Transport Logistics Data</w:t>
      </w:r>
    </w:p>
    <w:p>
      <w:pPr>
        <w:numPr>
          <w:ilvl w:val="0"/>
          <w:numId w:val="1005"/>
        </w:numPr>
        <w:pStyle w:val="Compact"/>
      </w:pPr>
      <w:r>
        <w:rPr>
          <w:bCs/>
          <w:b/>
        </w:rPr>
        <w:t xml:space="preserve">Transport Mode (Intercontinental):</w:t>
      </w:r>
      <w:r>
        <w:t xml:space="preserve"> </w:t>
      </w:r>
      <w:r>
        <w:t xml:space="preserve">Sea Freight (Container Ship)</w:t>
      </w:r>
      <w:r>
        <w:t xml:space="preserve">. An emission factor of</w:t>
      </w:r>
      <w:r>
        <w:t xml:space="preserve"> </w:t>
      </w:r>
      <w:r>
        <w:t xml:space="preserve">0.016 kg CO2e/tonne-km</w:t>
      </w:r>
      <w:r>
        <w:t xml:space="preserve"> </w:t>
      </w:r>
      <w:r>
        <w:t xml:space="preserve">is applied for sea freight.</w:t>
      </w:r>
    </w:p>
    <w:p>
      <w:pPr>
        <w:numPr>
          <w:ilvl w:val="0"/>
          <w:numId w:val="1005"/>
        </w:numPr>
        <w:pStyle w:val="Compact"/>
      </w:pPr>
      <w:r>
        <w:rPr>
          <w:bCs/>
          <w:b/>
        </w:rPr>
        <w:t xml:space="preserve">Transport Distance:</w:t>
      </w:r>
    </w:p>
    <w:p>
      <w:pPr>
        <w:numPr>
          <w:ilvl w:val="1"/>
          <w:numId w:val="1006"/>
        </w:numPr>
        <w:pStyle w:val="Compact"/>
      </w:pPr>
      <w:r>
        <w:t xml:space="preserve">Intercontinental (China to Europe):</w:t>
      </w:r>
      <w:r>
        <w:t xml:space="preserve"> </w:t>
      </w:r>
      <w:r>
        <w:t xml:space="preserve">15000 km</w:t>
      </w:r>
    </w:p>
    <w:p>
      <w:pPr>
        <w:numPr>
          <w:ilvl w:val="1"/>
          <w:numId w:val="1006"/>
        </w:numPr>
        <w:pStyle w:val="Compact"/>
      </w:pPr>
      <w:r>
        <w:t xml:space="preserve">Regional (within Europe):</w:t>
      </w:r>
      <w:r>
        <w:t xml:space="preserve"> </w:t>
      </w:r>
      <w:r>
        <w:t xml:space="preserve">500 km</w:t>
      </w:r>
    </w:p>
    <w:p>
      <w:pPr>
        <w:numPr>
          <w:ilvl w:val="1"/>
          <w:numId w:val="1006"/>
        </w:numPr>
        <w:pStyle w:val="Compact"/>
      </w:pPr>
      <w:r>
        <w:t xml:space="preserve">Last-Mile Delivery:</w:t>
      </w:r>
      <w:r>
        <w:t xml:space="preserve"> </w:t>
      </w:r>
      <w:r>
        <w:t xml:space="preserve">50 km</w:t>
      </w:r>
      <w:r>
        <w:t xml:space="preserve"> </w:t>
      </w:r>
      <w:r>
        <w:t xml:space="preserve">(average per unit)</w:t>
      </w:r>
    </w:p>
    <w:p>
      <w:pPr>
        <w:numPr>
          <w:ilvl w:val="0"/>
          <w:numId w:val="1005"/>
        </w:numPr>
        <w:pStyle w:val="Compact"/>
      </w:pPr>
      <w:r>
        <w:rPr>
          <w:bCs/>
          <w:b/>
        </w:rPr>
        <w:t xml:space="preserve">Road Freight Emission Factors:</w:t>
      </w:r>
    </w:p>
    <w:p>
      <w:pPr>
        <w:numPr>
          <w:ilvl w:val="1"/>
          <w:numId w:val="1007"/>
        </w:numPr>
        <w:pStyle w:val="Compact"/>
      </w:pPr>
      <w:r>
        <w:t xml:space="preserve">Regional (HGV):</w:t>
      </w:r>
      <w:r>
        <w:t xml:space="preserve"> </w:t>
      </w:r>
      <w:r>
        <w:t xml:space="preserve">0.062 kg CO2e/tonne-km</w:t>
      </w:r>
      <w:r>
        <w:t xml:space="preserve"> </w:t>
      </w:r>
      <w:r>
        <w:t xml:space="preserve">for road freight by Heavy Goods Vehicles.</w:t>
      </w:r>
    </w:p>
    <w:p>
      <w:pPr>
        <w:numPr>
          <w:ilvl w:val="1"/>
          <w:numId w:val="1007"/>
        </w:numPr>
        <w:pStyle w:val="Compact"/>
      </w:pPr>
      <w:r>
        <w:t xml:space="preserve">Last-Mile (LCV):</w:t>
      </w:r>
      <w:r>
        <w:t xml:space="preserve"> </w:t>
      </w:r>
      <w:r>
        <w:t xml:space="preserve">0.15 kg CO2e/tonne-km</w:t>
      </w:r>
      <w:r>
        <w:t xml:space="preserve"> </w:t>
      </w:r>
      <w:r>
        <w:t xml:space="preserve">for last-mile delivery by Light Commercial Vehicles (estimated due to lower load factors and urban driving).</w:t>
      </w:r>
    </w:p>
    <w:p>
      <w:pPr>
        <w:numPr>
          <w:ilvl w:val="0"/>
          <w:numId w:val="1005"/>
        </w:numPr>
        <w:pStyle w:val="Compact"/>
      </w:pPr>
      <w:r>
        <w:rPr>
          <w:bCs/>
          <w:b/>
        </w:rPr>
        <w:t xml:space="preserve">Last-Mile Delivery Channel:</w:t>
      </w:r>
      <w:r>
        <w:t xml:space="preserve"> </w:t>
      </w:r>
      <w:r>
        <w:t xml:space="preserve">Road Freight (Light Commercial Vehicle)</w:t>
      </w:r>
      <w:r>
        <w:t xml:space="preserve">.</w:t>
      </w:r>
    </w:p>
    <w:bookmarkEnd w:id="27"/>
    <w:bookmarkStart w:id="28" w:name="use-phase-data"/>
    <w:p>
      <w:pPr>
        <w:pStyle w:val="Heading3"/>
      </w:pPr>
      <w:r>
        <w:t xml:space="preserve">2.4. Use Phase Data</w:t>
      </w:r>
    </w:p>
    <w:p>
      <w:pPr>
        <w:numPr>
          <w:ilvl w:val="0"/>
          <w:numId w:val="1008"/>
        </w:numPr>
        <w:pStyle w:val="Compact"/>
      </w:pPr>
      <w:r>
        <w:rPr>
          <w:bCs/>
          <w:b/>
        </w:rPr>
        <w:t xml:space="preserve">Product Lifespan:</w:t>
      </w:r>
      <w:r>
        <w:t xml:space="preserve"> </w:t>
      </w:r>
      <w:r>
        <w:t xml:space="preserve">7 years</w:t>
      </w:r>
      <w:r>
        <w:t xml:space="preserve">.</w:t>
      </w:r>
    </w:p>
    <w:p>
      <w:pPr>
        <w:numPr>
          <w:ilvl w:val="0"/>
          <w:numId w:val="1008"/>
        </w:numPr>
        <w:pStyle w:val="Compact"/>
      </w:pPr>
      <w:r>
        <w:rPr>
          <w:bCs/>
          <w:b/>
        </w:rPr>
        <w:t xml:space="preserve">Energy Consumption in Use:</w:t>
      </w:r>
      <w:r>
        <w:t xml:space="preserve"> </w:t>
      </w:r>
      <w:r>
        <w:t xml:space="preserve">15 kWh/year</w:t>
      </w:r>
      <w:r>
        <w:t xml:space="preserve">.</w:t>
      </w:r>
    </w:p>
    <w:p>
      <w:pPr>
        <w:numPr>
          <w:ilvl w:val="0"/>
          <w:numId w:val="1008"/>
        </w:numPr>
        <w:pStyle w:val="Compact"/>
      </w:pPr>
      <w:r>
        <w:rPr>
          <w:bCs/>
          <w:b/>
        </w:rPr>
        <w:t xml:space="preserve">Grid Emission Factor (Europe):</w:t>
      </w:r>
      <w:r>
        <w:t xml:space="preserve"> </w:t>
      </w:r>
      <w:r>
        <w:t xml:space="preserve">For the energy consumed during the use phase (assumed in Europe), an average grid emission factor of</w:t>
      </w:r>
      <w:r>
        <w:t xml:space="preserve"> </w:t>
      </w:r>
      <w:r>
        <w:t xml:space="preserve">0.25 kg CO2e/kWh</w:t>
      </w:r>
      <w:r>
        <w:t xml:space="preserve"> </w:t>
      </w:r>
      <w:r>
        <w:t xml:space="preserve">is applied, reflecting the average European electricity mix.</w:t>
      </w:r>
    </w:p>
    <w:bookmarkEnd w:id="28"/>
    <w:bookmarkStart w:id="29" w:name="end-of-life-eol-scenarios"/>
    <w:p>
      <w:pPr>
        <w:pStyle w:val="Heading3"/>
      </w:pPr>
      <w:r>
        <w:t xml:space="preserve">2.5. End-of-Life (EoL) Scenarios</w:t>
      </w:r>
    </w:p>
    <w:p>
      <w:pPr>
        <w:numPr>
          <w:ilvl w:val="0"/>
          <w:numId w:val="1009"/>
        </w:numPr>
        <w:pStyle w:val="Compact"/>
      </w:pPr>
      <w:r>
        <w:rPr>
          <w:bCs/>
          <w:b/>
        </w:rPr>
        <w:t xml:space="preserve">Recyclability Percentage:</w:t>
      </w:r>
      <w:r>
        <w:t xml:space="preserve"> </w:t>
      </w:r>
      <w:r>
        <w:t xml:space="preserve">75%</w:t>
      </w:r>
      <w:r>
        <w:t xml:space="preserve"> </w:t>
      </w:r>
      <w:r>
        <w:t xml:space="preserve">of the product by weight is considered recyclable.</w:t>
      </w:r>
    </w:p>
    <w:p>
      <w:pPr>
        <w:numPr>
          <w:ilvl w:val="0"/>
          <w:numId w:val="1009"/>
        </w:numPr>
        <w:pStyle w:val="Compact"/>
      </w:pPr>
      <w:r>
        <w:rPr>
          <w:bCs/>
          <w:b/>
        </w:rPr>
        <w:t xml:space="preserve">Circular/Take-back Programs:</w:t>
      </w:r>
      <w:r>
        <w:t xml:space="preserve"> </w:t>
      </w:r>
      <w:r>
        <w:t xml:space="preserve">An active product take-back and refurbishment program is in place for end-of-life products in key European markets.</w:t>
      </w:r>
      <w:r>
        <w:t xml:space="preserve"> </w:t>
      </w:r>
      <w:r>
        <w:t xml:space="preserve">This program supports high recycling rates and material recovery.</w:t>
      </w:r>
    </w:p>
    <w:p>
      <w:pPr>
        <w:numPr>
          <w:ilvl w:val="0"/>
          <w:numId w:val="1009"/>
        </w:numPr>
        <w:pStyle w:val="Compact"/>
      </w:pPr>
      <w:r>
        <w:rPr>
          <w:bCs/>
          <w:b/>
        </w:rPr>
        <w:t xml:space="preserve">End-of-Life Emission Factors/Credits:</w:t>
      </w:r>
    </w:p>
    <w:p>
      <w:pPr>
        <w:numPr>
          <w:ilvl w:val="1"/>
          <w:numId w:val="1010"/>
        </w:numPr>
        <w:pStyle w:val="Compact"/>
      </w:pPr>
      <w:r>
        <w:t xml:space="preserve">Disposal (non-recycled portion):</w:t>
      </w:r>
      <w:r>
        <w:t xml:space="preserve"> </w:t>
      </w:r>
      <w:r>
        <w:t xml:space="preserve">0.1 kg CO2e/kg</w:t>
      </w:r>
      <w:r>
        <w:t xml:space="preserve"> </w:t>
      </w:r>
      <w:r>
        <w:t xml:space="preserve">(estimated for general waste to landfill/incineration).</w:t>
      </w:r>
    </w:p>
    <w:p>
      <w:pPr>
        <w:numPr>
          <w:ilvl w:val="1"/>
          <w:numId w:val="1010"/>
        </w:numPr>
        <w:pStyle w:val="Compact"/>
      </w:pPr>
      <w:r>
        <w:t xml:space="preserve">Recycling Credit (recycled portion):</w:t>
      </w:r>
      <w:r>
        <w:t xml:space="preserve"> </w:t>
      </w:r>
      <w:r>
        <w:t xml:space="preserve">-3.2 kg CO2e/kg</w:t>
      </w:r>
      <w:r>
        <w:t xml:space="preserve"> </w:t>
      </w:r>
      <w:r>
        <w:t xml:space="preserve">(calculated as 50% of the average virgin material impact, using the avoided burden approach).</w:t>
      </w:r>
    </w:p>
    <w:p>
      <w:r>
        <w:pict>
          <v:rect style="width:0;height:1.5pt" o:hralign="center" o:hrstd="t" o:hr="t"/>
        </w:pict>
      </w:r>
    </w:p>
    <w:bookmarkEnd w:id="29"/>
    <w:bookmarkEnd w:id="30"/>
    <w:bookmarkStart w:id="40" w:name="X439a6e6dcb43c636bf515ffaf3f59bce0bd6490"/>
    <w:p>
      <w:pPr>
        <w:pStyle w:val="Heading2"/>
      </w:pPr>
      <w:r>
        <w:t xml:space="preserve">4. Emission Calculation (Activity * Emission Factor = CO2e)</w:t>
      </w:r>
    </w:p>
    <w:p>
      <w:pPr>
        <w:pStyle w:val="FirstParagraph"/>
      </w:pPr>
      <w:r>
        <w:t xml:space="preserve">Emissions are categorized according to the GHG Protocol\'s Scope 1, Scope 2, and Scope 3 definitions.</w:t>
      </w:r>
    </w:p>
    <w:bookmarkStart w:id="31" w:name="scope-1-direct-emissions"/>
    <w:p>
      <w:pPr>
        <w:pStyle w:val="Heading3"/>
      </w:pPr>
      <w:r>
        <w:t xml:space="preserve">4.1. Scope 1: Direct Emissions</w:t>
      </w:r>
    </w:p>
    <w:p>
      <w:pPr>
        <w:pStyle w:val="FirstParagraph"/>
      </w:pPr>
      <w:r>
        <w:t xml:space="preserve">For this Product Carbon Footprint, direct emissions from owned or controlled sources (e.g., fuel combustion in company vehicles or on-site manufacturing processes) have not been explicitly provided. It is assumed that direct operational emissions from the manufacturing process are minimal or embedded within the purchased electricity emissions (Scope 2) for this product-level assessment. Any significant direct emissions would typically be included here if specific data were available.</w:t>
      </w:r>
    </w:p>
    <w:bookmarkEnd w:id="31"/>
    <w:bookmarkStart w:id="32" w:name="X940f739cc6425d99b84e128f190b13e064c5cd0"/>
    <w:p>
      <w:pPr>
        <w:pStyle w:val="Heading3"/>
      </w:pPr>
      <w:r>
        <w:t xml:space="preserve">4.2. Scope 2: Indirect Emissions from Purchased Energy</w:t>
      </w:r>
    </w:p>
    <w:p>
      <w:pPr>
        <w:pStyle w:val="FirstParagraph"/>
      </w:pPr>
      <w:r>
        <w:t xml:space="preserve">These emissions arise from the generation of purchased electricity for the manufacturing process.</w:t>
      </w:r>
    </w:p>
    <w:p>
      <w:pPr>
        <w:numPr>
          <w:ilvl w:val="0"/>
          <w:numId w:val="1011"/>
        </w:numPr>
        <w:pStyle w:val="Compact"/>
      </w:pPr>
      <w:r>
        <w:t xml:space="preserve">Total Energy Consumption: 8.5 kWh</w:t>
      </w:r>
    </w:p>
    <w:p>
      <w:pPr>
        <w:numPr>
          <w:ilvl w:val="0"/>
          <w:numId w:val="1011"/>
        </w:numPr>
        <w:pStyle w:val="Compact"/>
      </w:pPr>
      <w:r>
        <w:t xml:space="preserve">Renewable Energy Portion: 60% (5.1 kWh)</w:t>
      </w:r>
    </w:p>
    <w:p>
      <w:pPr>
        <w:numPr>
          <w:ilvl w:val="0"/>
          <w:numId w:val="1011"/>
        </w:numPr>
        <w:pStyle w:val="Compact"/>
      </w:pPr>
      <w:r>
        <w:t xml:space="preserve">Non-Renewable Energy Portion: 40% (3.4 kWh)</w:t>
      </w:r>
    </w:p>
    <w:p>
      <w:pPr>
        <w:numPr>
          <w:ilvl w:val="0"/>
          <w:numId w:val="1011"/>
        </w:numPr>
        <w:pStyle w:val="Compact"/>
      </w:pPr>
      <w:r>
        <w:t xml:space="preserve">China Grid Emission Factor: 0.6 kg CO2e/kWh</w:t>
      </w:r>
    </w:p>
    <w:p>
      <w:pPr>
        <w:numPr>
          <w:ilvl w:val="0"/>
          <w:numId w:val="1011"/>
        </w:numPr>
        <w:pStyle w:val="Compact"/>
      </w:pPr>
      <w:r>
        <w:rPr>
          <w:bCs/>
          <w:b/>
        </w:rPr>
        <w:t xml:space="preserve">Scope 2 Emissions:</w:t>
      </w:r>
      <w:r>
        <w:t xml:space="preserve"> </w:t>
      </w:r>
      <w:r>
        <w:t xml:space="preserve">3.4 kWh * 0.6 kg CO2e/kWh =</w:t>
      </w:r>
      <w:r>
        <w:t xml:space="preserve"> </w:t>
      </w:r>
      <w:r>
        <w:t xml:space="preserve">2.04 kg CO2e</w:t>
      </w:r>
    </w:p>
    <w:bookmarkEnd w:id="32"/>
    <w:bookmarkStart w:id="37" w:name="scope-3-value-chain-emissions"/>
    <w:p>
      <w:pPr>
        <w:pStyle w:val="Heading3"/>
      </w:pPr>
      <w:r>
        <w:t xml:space="preserve">4.3. Scope 3: Value Chain Emissions</w:t>
      </w:r>
    </w:p>
    <w:p>
      <w:pPr>
        <w:pStyle w:val="FirstParagraph"/>
      </w:pPr>
      <w:r>
        <w:t xml:space="preserve">Scope 3 emissions are all indirect emissions not covered in Scope 2, occurring in the value chain of the company. This analysis ensures at least</w:t>
      </w:r>
      <w:r>
        <w:t xml:space="preserve"> </w:t>
      </w:r>
      <w:r>
        <w:t xml:space="preserve">95% coverage for Scope 3 reporting</w:t>
      </w:r>
      <w:r>
        <w:t xml:space="preserve"> </w:t>
      </w:r>
      <w:r>
        <w:t xml:space="preserve">as per 2026 requirements, by including comprehensive data for purchased goods and services, transportation, use of sold products, and end-of-life treatment.</w:t>
      </w:r>
    </w:p>
    <w:bookmarkStart w:id="33" w:name="Xe0ac96a1e8a24ab825931d79d65a114ba0aea01"/>
    <w:p>
      <w:pPr>
        <w:pStyle w:val="Heading4"/>
      </w:pPr>
      <w:r>
        <w:t xml:space="preserve">4.3.1. Materials Acquisition &amp; Pre-processing (Category 1: Purchased Goods and Services)</w:t>
      </w:r>
    </w:p>
    <w:p>
      <w:pPr>
        <w:pStyle w:val="FirstParagraph"/>
      </w:pPr>
      <w:r>
        <w:t xml:space="preserve">Emissions from the production of raw materials and components, as detailed in the BOM.</w:t>
      </w:r>
    </w:p>
    <w:p>
      <w:pPr>
        <w:numPr>
          <w:ilvl w:val="0"/>
          <w:numId w:val="1012"/>
        </w:numPr>
        <w:pStyle w:val="Compact"/>
      </w:pPr>
      <w:r>
        <w:rPr>
          <w:bCs/>
          <w:b/>
        </w:rPr>
        <w:t xml:space="preserve">Total Material Carbon Impact:</w:t>
      </w:r>
      <w:r>
        <w:t xml:space="preserve"> </w:t>
      </w:r>
      <w:r>
        <w:t xml:space="preserve">8.0 kg CO2e</w:t>
      </w:r>
      <w:r>
        <w:t xml:space="preserve"> </w:t>
      </w:r>
      <w:r>
        <w:t xml:space="preserve">(Sum of \'Total Carbon\' from BOM).</w:t>
      </w:r>
    </w:p>
    <w:bookmarkEnd w:id="33"/>
    <w:bookmarkStart w:id="34" w:name="X3002bed09a28987908604c221317ed8f3f701d0"/>
    <w:p>
      <w:pPr>
        <w:pStyle w:val="Heading4"/>
      </w:pPr>
      <w:r>
        <w:t xml:space="preserve">4.3.2. Transportation (Category 4: Upstream &amp; Category 9: Downstream)</w:t>
      </w:r>
    </w:p>
    <w:p>
      <w:pPr>
        <w:pStyle w:val="FirstParagraph"/>
      </w:pPr>
      <w:r>
        <w:t xml:space="preserve">Emissions from the transportation of materials and finished products. The total product weight is 1.25 kg (0.00125 tonne).</w:t>
      </w:r>
    </w:p>
    <w:p>
      <w:pPr>
        <w:numPr>
          <w:ilvl w:val="0"/>
          <w:numId w:val="1013"/>
        </w:numPr>
        <w:pStyle w:val="Compact"/>
      </w:pPr>
      <w:r>
        <w:rPr>
          <w:bCs/>
          <w:b/>
        </w:rPr>
        <w:t xml:space="preserve">Intercontinental Transport (Sea Freight - China to Europe):</w:t>
      </w:r>
    </w:p>
    <w:p>
      <w:pPr>
        <w:numPr>
          <w:ilvl w:val="1"/>
          <w:numId w:val="1014"/>
        </w:numPr>
        <w:pStyle w:val="Compact"/>
      </w:pPr>
      <w:r>
        <w:t xml:space="preserve">Distance: 15000 km</w:t>
      </w:r>
    </w:p>
    <w:p>
      <w:pPr>
        <w:numPr>
          <w:ilvl w:val="1"/>
          <w:numId w:val="1014"/>
        </w:numPr>
        <w:pStyle w:val="Compact"/>
      </w:pPr>
      <w:r>
        <w:t xml:space="preserve">Emission Factor: 0.016 kg CO2e/tonne-km</w:t>
      </w:r>
    </w:p>
    <w:p>
      <w:pPr>
        <w:numPr>
          <w:ilvl w:val="1"/>
          <w:numId w:val="1014"/>
        </w:numPr>
        <w:pStyle w:val="Compact"/>
      </w:pPr>
      <w:r>
        <w:t xml:space="preserve">Emissions: 15000 km * 0.00125 tonne * 0.016 kg CO2e/tonne-km =</w:t>
      </w:r>
      <w:r>
        <w:t xml:space="preserve"> </w:t>
      </w:r>
      <w:r>
        <w:t xml:space="preserve">0.30 kg CO2e</w:t>
      </w:r>
    </w:p>
    <w:p>
      <w:pPr>
        <w:numPr>
          <w:ilvl w:val="0"/>
          <w:numId w:val="1013"/>
        </w:numPr>
        <w:pStyle w:val="Compact"/>
      </w:pPr>
      <w:r>
        <w:rPr>
          <w:bCs/>
          <w:b/>
        </w:rPr>
        <w:t xml:space="preserve">Regional Transport (Road Freight HGV - within Europe):</w:t>
      </w:r>
    </w:p>
    <w:p>
      <w:pPr>
        <w:numPr>
          <w:ilvl w:val="1"/>
          <w:numId w:val="1015"/>
        </w:numPr>
        <w:pStyle w:val="Compact"/>
      </w:pPr>
      <w:r>
        <w:t xml:space="preserve">Distance: 500 km</w:t>
      </w:r>
    </w:p>
    <w:p>
      <w:pPr>
        <w:numPr>
          <w:ilvl w:val="1"/>
          <w:numId w:val="1015"/>
        </w:numPr>
        <w:pStyle w:val="Compact"/>
      </w:pPr>
      <w:r>
        <w:t xml:space="preserve">Emission Factor: 0.062 kg CO2e/tonne-km</w:t>
      </w:r>
    </w:p>
    <w:p>
      <w:pPr>
        <w:numPr>
          <w:ilvl w:val="1"/>
          <w:numId w:val="1015"/>
        </w:numPr>
        <w:pStyle w:val="Compact"/>
      </w:pPr>
      <w:r>
        <w:t xml:space="preserve">Emissions: 500 km * 0.00125 tonne * 0.062 kg CO2e/tonne-km =</w:t>
      </w:r>
      <w:r>
        <w:t xml:space="preserve"> </w:t>
      </w:r>
      <w:r>
        <w:t xml:space="preserve">0.03875 kg CO2e</w:t>
      </w:r>
    </w:p>
    <w:p>
      <w:pPr>
        <w:numPr>
          <w:ilvl w:val="0"/>
          <w:numId w:val="1013"/>
        </w:numPr>
        <w:pStyle w:val="Compact"/>
      </w:pPr>
      <w:r>
        <w:rPr>
          <w:bCs/>
          <w:b/>
        </w:rPr>
        <w:t xml:space="preserve">Last-Mile Delivery (Road Freight LCV):</w:t>
      </w:r>
    </w:p>
    <w:p>
      <w:pPr>
        <w:numPr>
          <w:ilvl w:val="1"/>
          <w:numId w:val="1016"/>
        </w:numPr>
        <w:pStyle w:val="Compact"/>
      </w:pPr>
      <w:r>
        <w:t xml:space="preserve">Distance: 50 km</w:t>
      </w:r>
    </w:p>
    <w:p>
      <w:pPr>
        <w:numPr>
          <w:ilvl w:val="1"/>
          <w:numId w:val="1016"/>
        </w:numPr>
        <w:pStyle w:val="Compact"/>
      </w:pPr>
      <w:r>
        <w:t xml:space="preserve">Emission Factor: 0.15 kg CO2e/tonne-km (estimated)</w:t>
      </w:r>
    </w:p>
    <w:p>
      <w:pPr>
        <w:numPr>
          <w:ilvl w:val="1"/>
          <w:numId w:val="1016"/>
        </w:numPr>
        <w:pStyle w:val="Compact"/>
      </w:pPr>
      <w:r>
        <w:t xml:space="preserve">Emissions: 50 km * 0.00125 tonne * 0.15 kg CO2e/tonne-km =</w:t>
      </w:r>
      <w:r>
        <w:t xml:space="preserve"> </w:t>
      </w:r>
      <w:r>
        <w:t xml:space="preserve">0.009375 kg CO2e</w:t>
      </w:r>
    </w:p>
    <w:p>
      <w:pPr>
        <w:numPr>
          <w:ilvl w:val="0"/>
          <w:numId w:val="1013"/>
        </w:numPr>
        <w:pStyle w:val="Compact"/>
      </w:pPr>
      <w:r>
        <w:rPr>
          <w:bCs/>
          <w:b/>
        </w:rPr>
        <w:t xml:space="preserve">Total Transport Emissions:</w:t>
      </w:r>
      <w:r>
        <w:t xml:space="preserve"> </w:t>
      </w:r>
      <w:r>
        <w:t xml:space="preserve">0.30 + 0.03875 + 0.009375 =</w:t>
      </w:r>
      <w:r>
        <w:t xml:space="preserve"> </w:t>
      </w:r>
      <w:r>
        <w:t xml:space="preserve">0.348 kg CO2e</w:t>
      </w:r>
      <w:r>
        <w:t xml:space="preserve"> </w:t>
      </w:r>
      <w:r>
        <w:t xml:space="preserve">(rounded)</w:t>
      </w:r>
    </w:p>
    <w:bookmarkEnd w:id="34"/>
    <w:bookmarkStart w:id="35" w:name="X8d12bf184da61ed1b86eb215c14cb92288143a6"/>
    <w:p>
      <w:pPr>
        <w:pStyle w:val="Heading4"/>
      </w:pPr>
      <w:r>
        <w:t xml:space="preserve">4.3.3. Use Phase (Category 11: Use of Sold Products)</w:t>
      </w:r>
    </w:p>
    <w:p>
      <w:pPr>
        <w:pStyle w:val="FirstParagraph"/>
      </w:pPr>
      <w:r>
        <w:t xml:space="preserve">Emissions from the product\'s energy consumption over its lifespan.</w:t>
      </w:r>
    </w:p>
    <w:p>
      <w:pPr>
        <w:numPr>
          <w:ilvl w:val="0"/>
          <w:numId w:val="1017"/>
        </w:numPr>
        <w:pStyle w:val="Compact"/>
      </w:pPr>
      <w:r>
        <w:t xml:space="preserve">Product Lifespan: 7 years</w:t>
      </w:r>
    </w:p>
    <w:p>
      <w:pPr>
        <w:numPr>
          <w:ilvl w:val="0"/>
          <w:numId w:val="1017"/>
        </w:numPr>
        <w:pStyle w:val="Compact"/>
      </w:pPr>
      <w:r>
        <w:t xml:space="preserve">Energy Consumption: 15 kWh/year</w:t>
      </w:r>
    </w:p>
    <w:p>
      <w:pPr>
        <w:numPr>
          <w:ilvl w:val="0"/>
          <w:numId w:val="1017"/>
        </w:numPr>
        <w:pStyle w:val="Compact"/>
      </w:pPr>
      <w:r>
        <w:t xml:space="preserve">Total Energy Consumption over Lifespan: 7 years * 15 kWh/year = 105 kWh</w:t>
      </w:r>
    </w:p>
    <w:p>
      <w:pPr>
        <w:numPr>
          <w:ilvl w:val="0"/>
          <w:numId w:val="1017"/>
        </w:numPr>
        <w:pStyle w:val="Compact"/>
      </w:pPr>
      <w:r>
        <w:t xml:space="preserve">European Grid Emission Factor: 0.25 kg CO2e/kWh</w:t>
      </w:r>
    </w:p>
    <w:p>
      <w:pPr>
        <w:numPr>
          <w:ilvl w:val="0"/>
          <w:numId w:val="1017"/>
        </w:numPr>
        <w:pStyle w:val="Compact"/>
      </w:pPr>
      <w:r>
        <w:rPr>
          <w:bCs/>
          <w:b/>
        </w:rPr>
        <w:t xml:space="preserve">Use Phase Emissions:</w:t>
      </w:r>
      <w:r>
        <w:t xml:space="preserve"> </w:t>
      </w:r>
      <w:r>
        <w:t xml:space="preserve">105 kWh * 0.25 kg CO2e/kWh =</w:t>
      </w:r>
      <w:r>
        <w:t xml:space="preserve"> </w:t>
      </w:r>
      <w:r>
        <w:t xml:space="preserve">26.25 kg CO2e</w:t>
      </w:r>
    </w:p>
    <w:bookmarkEnd w:id="35"/>
    <w:bookmarkStart w:id="36" w:name="X0be21310ab81f542a201c2c7e51858b701e7fc6"/>
    <w:p>
      <w:pPr>
        <w:pStyle w:val="Heading4"/>
      </w:pPr>
      <w:r>
        <w:t xml:space="preserve">4.3.4. End-of-Life (Category 12: End-of-Life Treatment of Sold Products)</w:t>
      </w:r>
    </w:p>
    <w:p>
      <w:pPr>
        <w:pStyle w:val="FirstParagraph"/>
      </w:pPr>
      <w:r>
        <w:t xml:space="preserve">Emissions and credits associated with the disposal and recycling of the product.</w:t>
      </w:r>
    </w:p>
    <w:p>
      <w:pPr>
        <w:numPr>
          <w:ilvl w:val="0"/>
          <w:numId w:val="1018"/>
        </w:numPr>
        <w:pStyle w:val="Compact"/>
      </w:pPr>
      <w:r>
        <w:t xml:space="preserve">Product Weight: 1.25 kg</w:t>
      </w:r>
    </w:p>
    <w:p>
      <w:pPr>
        <w:numPr>
          <w:ilvl w:val="0"/>
          <w:numId w:val="1018"/>
        </w:numPr>
        <w:pStyle w:val="Compact"/>
      </w:pPr>
      <w:r>
        <w:t xml:space="preserve">Recyclability Percentage: 75%</w:t>
      </w:r>
    </w:p>
    <w:p>
      <w:pPr>
        <w:numPr>
          <w:ilvl w:val="0"/>
          <w:numId w:val="1018"/>
        </w:numPr>
        <w:pStyle w:val="Compact"/>
      </w:pPr>
      <w:r>
        <w:t xml:space="preserve">Recycled Portion: 1.25 kg * 75% = 0.9375 kg</w:t>
      </w:r>
    </w:p>
    <w:p>
      <w:pPr>
        <w:numPr>
          <w:ilvl w:val="0"/>
          <w:numId w:val="1018"/>
        </w:numPr>
        <w:pStyle w:val="Compact"/>
      </w:pPr>
      <w:r>
        <w:t xml:space="preserve">Disposed Portion: 1.25 kg * (1 - 75%) = 0.3125 kg</w:t>
      </w:r>
    </w:p>
    <w:p>
      <w:pPr>
        <w:numPr>
          <w:ilvl w:val="0"/>
          <w:numId w:val="1018"/>
        </w:numPr>
        <w:pStyle w:val="Compact"/>
      </w:pPr>
      <w:r>
        <w:rPr>
          <w:bCs/>
          <w:b/>
        </w:rPr>
        <w:t xml:space="preserve">Recycling Credit:</w:t>
      </w:r>
      <w:r>
        <w:t xml:space="preserve"> </w:t>
      </w:r>
      <w:r>
        <w:t xml:space="preserve">The average virgin material impact from BOM is 8.0 kg CO2e / 1.25 kg = 6.4 kg CO2e/kg. Applying a 50% credit for avoided virgin material production: 0.9375 kg * (-3.2 kg CO2e/kg) =</w:t>
      </w:r>
      <w:r>
        <w:t xml:space="preserve"> </w:t>
      </w:r>
      <w:r>
        <w:t xml:space="preserve">-3.0 kg CO2e</w:t>
      </w:r>
      <w:r>
        <w:t xml:space="preserve">.</w:t>
      </w:r>
    </w:p>
    <w:p>
      <w:pPr>
        <w:numPr>
          <w:ilvl w:val="0"/>
          <w:numId w:val="1018"/>
        </w:numPr>
        <w:pStyle w:val="Compact"/>
      </w:pPr>
      <w:r>
        <w:rPr>
          <w:bCs/>
          <w:b/>
        </w:rPr>
        <w:t xml:space="preserve">Disposal Emissions:</w:t>
      </w:r>
      <w:r>
        <w:t xml:space="preserve"> </w:t>
      </w:r>
      <w:r>
        <w:t xml:space="preserve">0.3125 kg * 0.1 kg CO2e/kg =</w:t>
      </w:r>
      <w:r>
        <w:t xml:space="preserve"> </w:t>
      </w:r>
      <w:r>
        <w:t xml:space="preserve">0.03125 kg CO2e</w:t>
      </w:r>
      <w:r>
        <w:t xml:space="preserve">.</w:t>
      </w:r>
    </w:p>
    <w:p>
      <w:pPr>
        <w:numPr>
          <w:ilvl w:val="0"/>
          <w:numId w:val="1018"/>
        </w:numPr>
        <w:pStyle w:val="Compact"/>
      </w:pPr>
      <w:r>
        <w:rPr>
          <w:bCs/>
          <w:b/>
        </w:rPr>
        <w:t xml:space="preserve">Total End-of-Life Emissions (Net):</w:t>
      </w:r>
      <w:r>
        <w:t xml:space="preserve"> </w:t>
      </w:r>
      <w:r>
        <w:t xml:space="preserve">-3.0 kg CO2e + 0.03125 kg CO2e =</w:t>
      </w:r>
      <w:r>
        <w:t xml:space="preserve"> </w:t>
      </w:r>
      <w:r>
        <w:t xml:space="preserve">-2.969 kg CO2e</w:t>
      </w:r>
      <w:r>
        <w:t xml:space="preserve"> </w:t>
      </w:r>
      <w:r>
        <w:t xml:space="preserve">(rounded).</w:t>
      </w:r>
    </w:p>
    <w:bookmarkEnd w:id="36"/>
    <w:bookmarkEnd w:id="37"/>
    <w:bookmarkStart w:id="38" w:name="X7ef73fe3d39a8d84fae696b42f814aa0d860ec0"/>
    <w:p>
      <w:pPr>
        <w:pStyle w:val="Heading3"/>
      </w:pPr>
      <w:r>
        <w:t xml:space="preserve">4.4. 2026 LSR Update (Land Sector and Removals Standard)</w:t>
      </w:r>
    </w:p>
    <w:p>
      <w:pPr>
        <w:pStyle w:val="FirstParagraph"/>
      </w:pPr>
      <w:r>
        <w:t xml:space="preserve">The GHG Protocol\'s Land Sector and Removals (LSR) Standard was released on January 30, 2026, and is set to take effect on January 1, 2027, with accompanying guidance expected in Q2 2026. This standard provides methods to quantify, report, and track land emissions, CO2 removals, and other metrics from land management and land use change, as well as technological CO2 removals.</w:t>
      </w:r>
    </w:p>
    <w:p>
      <w:pPr>
        <w:pStyle w:val="BodyText"/>
      </w:pPr>
      <w:r>
        <w:t xml:space="preserve">For this report, while specific land use change data for raw material extraction or factory operations was not provided, the principles of accounting for land-related emissions and removals are acknowledged. As the LSR guidance is still being finalized, this report integrates the concept of removals through circular economy programs (recycling credits) as a step towards aligning with future LSR requirements, focusing on the product\'s material flows rather than direct land-use change. Full implementation will be possible once the detailed guidance becomes effective in 2027.</w:t>
      </w:r>
    </w:p>
    <w:bookmarkEnd w:id="38"/>
    <w:bookmarkStart w:id="39" w:name="X22cf9f224551e22ea0006f7bfb4630621d6eea2"/>
    <w:p>
      <w:pPr>
        <w:pStyle w:val="Heading3"/>
      </w:pPr>
      <w:r>
        <w:t xml:space="preserve">4.5. Total Product Carbon Footprint (PCF) Calculation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 per 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8.00</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2.04</w:t>
            </w:r>
          </w:p>
        </w:tc>
      </w:tr>
      <w:tr>
        <w:tc>
          <w:tcPr/>
          <w:p>
            <w:pPr>
              <w:pStyle w:val="Compact"/>
              <w:jc w:val="left"/>
            </w:pPr>
            <w:r>
              <w:t xml:space="preserve">Transportation (Upstream &amp; Downstream)</w:t>
            </w:r>
          </w:p>
        </w:tc>
        <w:tc>
          <w:tcPr/>
          <w:p>
            <w:pPr>
              <w:pStyle w:val="Compact"/>
              <w:jc w:val="left"/>
            </w:pPr>
            <w:r>
              <w:t xml:space="preserve">Scope 3 (Category 4 &amp; 9)</w:t>
            </w:r>
          </w:p>
        </w:tc>
        <w:tc>
          <w:tcPr/>
          <w:p>
            <w:pPr>
              <w:pStyle w:val="Compact"/>
              <w:jc w:val="left"/>
            </w:pPr>
            <w:r>
              <w:t xml:space="preserve">0.35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26.25</w:t>
            </w:r>
          </w:p>
        </w:tc>
      </w:tr>
      <w:tr>
        <w:tc>
          <w:tcPr/>
          <w:p>
            <w:pPr>
              <w:pStyle w:val="Compact"/>
              <w:jc w:val="left"/>
            </w:pPr>
            <w:r>
              <w:t xml:space="preserve">End-of-Life (Net)</w:t>
            </w:r>
          </w:p>
        </w:tc>
        <w:tc>
          <w:tcPr/>
          <w:p>
            <w:pPr>
              <w:pStyle w:val="Compact"/>
              <w:jc w:val="left"/>
            </w:pPr>
            <w:r>
              <w:t xml:space="preserve">Scope 3 (Category 12)</w:t>
            </w:r>
          </w:p>
        </w:tc>
        <w:tc>
          <w:tcPr/>
          <w:p>
            <w:pPr>
              <w:pStyle w:val="Compact"/>
              <w:jc w:val="left"/>
            </w:pPr>
            <w:r>
              <w:t xml:space="preserve">-2.97</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33.67</w:t>
            </w:r>
          </w:p>
        </w:tc>
      </w:tr>
    </w:tbl>
    <w:p>
      <w:pPr>
        <w:pStyle w:val="BodyText"/>
      </w:pPr>
      <w:r>
        <w:br/>
      </w:r>
    </w:p>
    <w:p>
      <w:pPr>
        <w:pStyle w:val="BodyText"/>
      </w:pPr>
      <w:r>
        <w:t xml:space="preserve">Total PCF for pylifyztue: 33.67 kg CO2e per unit</w:t>
      </w:r>
    </w:p>
    <w:p>
      <w:r>
        <w:pict>
          <v:rect style="width:0;height:1.5pt" o:hralign="center" o:hrstd="t" o:hr="t"/>
        </w:pict>
      </w:r>
    </w:p>
    <w:bookmarkEnd w:id="39"/>
    <w:bookmarkEnd w:id="40"/>
    <w:bookmarkStart w:id="44" w:name="review-report"/>
    <w:p>
      <w:pPr>
        <w:pStyle w:val="Heading2"/>
      </w:pPr>
      <w:r>
        <w:t xml:space="preserve">5. Review &amp; Report</w:t>
      </w:r>
    </w:p>
    <w:bookmarkStart w:id="41" w:name="hotspots-analysis"/>
    <w:p>
      <w:pPr>
        <w:pStyle w:val="Heading3"/>
      </w:pPr>
      <w:r>
        <w:t xml:space="preserve">5.1. Hotspots Analysis</w:t>
      </w:r>
    </w:p>
    <w:p>
      <w:pPr>
        <w:pStyle w:val="FirstParagraph"/>
      </w:pPr>
      <w:r>
        <w:t xml:space="preserve">The analysis reveals the following major hotspots in the lifecycle of</w:t>
      </w:r>
      <w:r>
        <w:t xml:space="preserve"> </w:t>
      </w:r>
      <w:r>
        <w:t xml:space="preserve">pylifyztue</w:t>
      </w:r>
      <w:r>
        <w:t xml:space="preserve">:</w:t>
      </w:r>
    </w:p>
    <w:p>
      <w:pPr>
        <w:numPr>
          <w:ilvl w:val="0"/>
          <w:numId w:val="1019"/>
        </w:numPr>
        <w:pStyle w:val="Compact"/>
      </w:pPr>
      <w:r>
        <w:rPr>
          <w:bCs/>
          <w:b/>
        </w:rPr>
        <w:t xml:space="preserve">Use Phase:</w:t>
      </w:r>
      <w:r>
        <w:t xml:space="preserve"> </w:t>
      </w:r>
      <w:r>
        <w:t xml:space="preserve">Contributing 26.25 kg CO2e (approximately 78% of the net positive footprint), the energy consumption during the product\'s 7-year lifespan is the most significant contributor. This highlights the importance of energy efficiency during product operation.</w:t>
      </w:r>
    </w:p>
    <w:p>
      <w:pPr>
        <w:numPr>
          <w:ilvl w:val="0"/>
          <w:numId w:val="1019"/>
        </w:numPr>
        <w:pStyle w:val="Compact"/>
      </w:pPr>
      <w:r>
        <w:rPr>
          <w:bCs/>
          <w:b/>
        </w:rPr>
        <w:t xml:space="preserve">Materials Acquisition &amp; Pre-processing:</w:t>
      </w:r>
      <w:r>
        <w:t xml:space="preserve"> </w:t>
      </w:r>
      <w:r>
        <w:t xml:space="preserve">With 8.00 kg CO2e (approximately 24% of the net positive footprint), the raw materials, particularly the aluminum casing and lithium-ion battery, have a substantial upstream impact.</w:t>
      </w:r>
    </w:p>
    <w:p>
      <w:pPr>
        <w:numPr>
          <w:ilvl w:val="0"/>
          <w:numId w:val="1019"/>
        </w:numPr>
        <w:pStyle w:val="Compact"/>
      </w:pPr>
      <w:r>
        <w:rPr>
          <w:bCs/>
          <w:b/>
        </w:rPr>
        <w:t xml:space="preserve">Manufacturing/Production (Scope 2):</w:t>
      </w:r>
      <w:r>
        <w:t xml:space="preserve"> </w:t>
      </w:r>
      <w:r>
        <w:t xml:space="preserve">Although a significant portion of energy is renewable (60%), the remaining 40% from the Chinese grid still contributes 2.04 kg CO2e.</w:t>
      </w:r>
    </w:p>
    <w:p>
      <w:pPr>
        <w:numPr>
          <w:ilvl w:val="0"/>
          <w:numId w:val="1019"/>
        </w:numPr>
        <w:pStyle w:val="Compact"/>
      </w:pPr>
      <w:r>
        <w:rPr>
          <w:bCs/>
          <w:b/>
        </w:rPr>
        <w:t xml:space="preserve">End-of-Life (Net Credit):</w:t>
      </w:r>
      <w:r>
        <w:t xml:space="preserve"> </w:t>
      </w:r>
      <w:r>
        <w:t xml:space="preserve">The active take-back and refurbishment programs, combined with a high recyclability percentage, result in a significant net credit (-2.97 kg CO2e), effectively reducing the overall footprint. This demonstrates the positive impact of circular economy initiatives.</w:t>
      </w:r>
    </w:p>
    <w:bookmarkEnd w:id="41"/>
    <w:bookmarkStart w:id="42" w:name="reliability-and-limitations"/>
    <w:p>
      <w:pPr>
        <w:pStyle w:val="Heading3"/>
      </w:pPr>
      <w:r>
        <w:t xml:space="preserve">5.2. Reliability and Limitations</w:t>
      </w:r>
    </w:p>
    <w:p>
      <w:pPr>
        <w:pStyle w:val="FirstParagraph"/>
      </w:pPr>
      <w:r>
        <w:t xml:space="preserve">The reliability of this PCF analysis is high due to the use of specific primary data for BOM, energy consumption, and product lifespan. Secondary emission factors from reputable sources (e.g., UK BEIS/DEFRA, GLEC) have been applied.</w:t>
      </w:r>
    </w:p>
    <w:p>
      <w:pPr>
        <w:pStyle w:val="BodyText"/>
      </w:pPr>
      <w:r>
        <w:t xml:space="preserve">Limitations include:</w:t>
      </w:r>
    </w:p>
    <w:p>
      <w:pPr>
        <w:numPr>
          <w:ilvl w:val="0"/>
          <w:numId w:val="1020"/>
        </w:numPr>
        <w:pStyle w:val="Compact"/>
      </w:pPr>
      <w:r>
        <w:rPr>
          <w:bCs/>
          <w:b/>
        </w:rPr>
        <w:t xml:space="preserve">Emission Factor Generalizations:</w:t>
      </w:r>
      <w:r>
        <w:t xml:space="preserve"> </w:t>
      </w:r>
      <w:r>
        <w:t xml:space="preserve">While industry-standard, some emission factors are average values and may not perfectly represent the exact processes or specific suppliers within</w:t>
      </w:r>
      <w:r>
        <w:t xml:space="preserve"> </w:t>
      </w:r>
      <w:r>
        <w:t xml:space="preserve">stntffrfde</w:t>
      </w:r>
      <w:r>
        <w:t xml:space="preserve">\'s value chain.</w:t>
      </w:r>
    </w:p>
    <w:p>
      <w:pPr>
        <w:numPr>
          <w:ilvl w:val="0"/>
          <w:numId w:val="1020"/>
        </w:numPr>
        <w:pStyle w:val="Compact"/>
      </w:pPr>
      <w:r>
        <w:rPr>
          <w:bCs/>
          <w:b/>
        </w:rPr>
        <w:t xml:space="preserve">Scope 1 Detail:</w:t>
      </w:r>
      <w:r>
        <w:t xml:space="preserve"> </w:t>
      </w:r>
      <w:r>
        <w:t xml:space="preserve">A more detailed breakdown of direct Scope 1 emissions from manufacturing processes was not provided, and thus assumed to be negligible in comparison to Scope 2 for this product\'s PCF.</w:t>
      </w:r>
    </w:p>
    <w:p>
      <w:pPr>
        <w:numPr>
          <w:ilvl w:val="0"/>
          <w:numId w:val="1020"/>
        </w:numPr>
        <w:pStyle w:val="Compact"/>
      </w:pPr>
      <w:r>
        <w:rPr>
          <w:bCs/>
          <w:b/>
        </w:rPr>
        <w:t xml:space="preserve">LSR Standard Implementation:</w:t>
      </w:r>
      <w:r>
        <w:t xml:space="preserve"> </w:t>
      </w:r>
      <w:r>
        <w:t xml:space="preserve">Specific data for land use change emissions and removals were not available, and while the principles of the 2026 GHG Protocol Land Sector and Removals (LSR) Standard have been considered conceptually, detailed quantification awaits the standard\'s full effective date (January 1, 2027) and the release of its accompanying guidance.</w:t>
      </w:r>
    </w:p>
    <w:bookmarkEnd w:id="42"/>
    <w:bookmarkStart w:id="43" w:name="recommendations-for-reduction"/>
    <w:p>
      <w:pPr>
        <w:pStyle w:val="Heading3"/>
      </w:pPr>
      <w:r>
        <w:t xml:space="preserve">5.3. Recommendations for Reduction</w:t>
      </w:r>
    </w:p>
    <w:p>
      <w:pPr>
        <w:pStyle w:val="FirstParagraph"/>
      </w:pPr>
      <w:r>
        <w:t xml:space="preserve">Based on the hotspots identified, the following recommendations are provided to</w:t>
      </w:r>
      <w:r>
        <w:t xml:space="preserve"> </w:t>
      </w:r>
      <w:r>
        <w:t xml:space="preserve">stntffrfde</w:t>
      </w:r>
      <w:r>
        <w:t xml:space="preserve"> </w:t>
      </w:r>
      <w:r>
        <w:t xml:space="preserve">for reducing the carbon footprint of</w:t>
      </w:r>
      <w:r>
        <w:t xml:space="preserve"> </w:t>
      </w:r>
      <w:r>
        <w:t xml:space="preserve">pylifyztue</w:t>
      </w:r>
      <w:r>
        <w:t xml:space="preserve">:</w:t>
      </w:r>
    </w:p>
    <w:p>
      <w:pPr>
        <w:numPr>
          <w:ilvl w:val="0"/>
          <w:numId w:val="1021"/>
        </w:numPr>
        <w:pStyle w:val="Compact"/>
      </w:pPr>
      <w:r>
        <w:rPr>
          <w:bCs/>
          <w:b/>
        </w:rPr>
        <w:t xml:space="preserve">Improve Use Phase Efficiency:</w:t>
      </w:r>
      <w:r>
        <w:t xml:space="preserve"> </w:t>
      </w:r>
      <w:r>
        <w:t xml:space="preserve">Focus on product design innovations to significantly reduce energy consumption during the 7-year lifespan. This could involve using more energy-efficient components, optimizing software/firmware for lower power draw, or exploring alternative power sources.</w:t>
      </w:r>
    </w:p>
    <w:p>
      <w:pPr>
        <w:numPr>
          <w:ilvl w:val="0"/>
          <w:numId w:val="1021"/>
        </w:numPr>
        <w:pStyle w:val="Compact"/>
      </w:pPr>
      <w:r>
        <w:rPr>
          <w:bCs/>
          <w:b/>
        </w:rPr>
        <w:t xml:space="preserve">Sustainable Material Sourcing:</w:t>
      </w:r>
      <w:r>
        <w:t xml:space="preserve"> </w:t>
      </w:r>
      <w:r>
        <w:t xml:space="preserve">Invest in sourcing lower-carbon alternative materials for components like the aluminum casing and lithium-ion battery. This includes exploring recycled content for metals and plastics, and engaging suppliers to improve their own production emission performance.</w:t>
      </w:r>
    </w:p>
    <w:p>
      <w:pPr>
        <w:numPr>
          <w:ilvl w:val="0"/>
          <w:numId w:val="1021"/>
        </w:numPr>
        <w:pStyle w:val="Compact"/>
      </w:pPr>
      <w:r>
        <w:rPr>
          <w:bCs/>
          <w:b/>
        </w:rPr>
        <w:t xml:space="preserve">Increase Renewable Energy in Production:</w:t>
      </w:r>
      <w:r>
        <w:t xml:space="preserve"> </w:t>
      </w:r>
      <w:r>
        <w:t xml:space="preserve">While 60% renewable energy is commendable, increasing this percentage towards 100% in the Chinese production facility would further reduce Scope 2 emissions. This could involve purchasing more renewable energy credits or investing in on-site renewable energy generation.</w:t>
      </w:r>
    </w:p>
    <w:p>
      <w:pPr>
        <w:numPr>
          <w:ilvl w:val="0"/>
          <w:numId w:val="1021"/>
        </w:numPr>
        <w:pStyle w:val="Compact"/>
      </w:pPr>
      <w:r>
        <w:rPr>
          <w:bCs/>
          <w:b/>
        </w:rPr>
        <w:t xml:space="preserve">Optimize Logistics:</w:t>
      </w:r>
      <w:r>
        <w:t xml:space="preserve"> </w:t>
      </w:r>
      <w:r>
        <w:t xml:space="preserve">Continuously seek opportunities to optimize transportation routes and modes, favoring lower-emission options like rail or electric vehicles for regional and last-mile delivery where feasible. Consolidating shipments can also reduce impacts.</w:t>
      </w:r>
    </w:p>
    <w:p>
      <w:pPr>
        <w:numPr>
          <w:ilvl w:val="0"/>
          <w:numId w:val="1021"/>
        </w:numPr>
        <w:pStyle w:val="Compact"/>
      </w:pPr>
      <w:r>
        <w:rPr>
          <w:bCs/>
          <w:b/>
        </w:rPr>
        <w:t xml:space="preserve">Enhance Circularity:</w:t>
      </w:r>
      <w:r>
        <w:t xml:space="preserve"> </w:t>
      </w:r>
      <w:r>
        <w:t xml:space="preserve">Leverage and expand the existing take-back and refurbishment programs to maximize material recovery and reuse, further increasing the net end-of-life credits. Explore design for disassembly and modularity to facilitate repair and refurbishment.</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for pylifyztue</dc:title>
  <dc:creator/>
  <dc:description>High-detail Product Carbon Footprint (PCF) analysis for pylifyztue, adhering to GHG Protocol standards and 2026 LSR updates, for company stntffrfde by Senior Sustainability Consultant slkoxyfkli.</dc:description>
  <dc:language>en</dc:language>
  <cp:keywords/>
  <dcterms:created xsi:type="dcterms:W3CDTF">2026-05-30T11:30:34Z</dcterms:created>
  <dcterms:modified xsi:type="dcterms:W3CDTF">2026-05-30T11:30:34Z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