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for</w:t>
      </w:r>
      <w:r>
        <w:t xml:space="preserve"> </w:t>
      </w:r>
      <w:r>
        <w:t xml:space="preserve">evnxjdeozu</w:t>
      </w:r>
      <w:r>
        <w:t xml:space="preserve"> </w:t>
      </w:r>
      <w:r>
        <w:t xml:space="preserve">-</w:t>
      </w:r>
      <w:r>
        <w:t xml:space="preserve"> </w:t>
      </w:r>
      <w:r>
        <w:t xml:space="preserve">ftjreidtqo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evnxjdeozu</w:t>
      </w:r>
    </w:p>
    <w:p>
      <w:pPr>
        <w:pStyle w:val="BodyText"/>
      </w:pPr>
      <w:r>
        <w:rPr>
          <w:bCs/>
          <w:b/>
        </w:rPr>
        <w:t xml:space="preserve">Company Name:</w:t>
      </w:r>
      <w:r>
        <w:t xml:space="preserve"> </w:t>
      </w:r>
      <w:r>
        <w:t xml:space="preserve">ftjreidtqo</w:t>
      </w:r>
    </w:p>
    <w:p>
      <w:pPr>
        <w:pStyle w:val="BodyText"/>
      </w:pPr>
      <w:r>
        <w:rPr>
          <w:bCs/>
          <w:b/>
        </w:rPr>
        <w:t xml:space="preserve">Senior Sustainability Consultant:</w:t>
      </w:r>
      <w:r>
        <w:t xml:space="preserve"> </w:t>
      </w:r>
      <w:r>
        <w:t xml:space="preserve">ozeqkpxgsy</w:t>
      </w:r>
    </w:p>
    <w:p>
      <w:pPr>
        <w:pStyle w:val="BodyText"/>
      </w:pPr>
      <w:r>
        <w:rPr>
          <w:bCs/>
          <w:b/>
        </w:rPr>
        <w:t xml:space="preserve">Accounting Standard:</w:t>
      </w:r>
      <w:r>
        <w:t xml:space="preserve"> </w:t>
      </w:r>
      <w:r>
        <w:t xml:space="preserve">GHG Protocol</w:t>
      </w:r>
    </w:p>
    <w:p>
      <w:pPr>
        <w:pStyle w:val="BodyText"/>
      </w:pPr>
      <w:r>
        <w:br/>
      </w:r>
    </w:p>
    <w:p>
      <w:pPr>
        <w:pStyle w:val="BodyText"/>
      </w:pPr>
      <w:r>
        <w:rPr>
          <w:iCs/>
          <w:i/>
        </w:rPr>
        <w:t xml:space="preserve">Disclaimer: This report is generated based on available data and industry standards, with specific parameters provided for ftjreidtqo\'s product evnxjdeozu. Where generic parameter values were provided (e.g., "Select Mode", "djqikzhsfp"), illustrative assumptions were made for calculation purposes, and these assumptions are detailed within the report. For a definitive analysis, precise, primary data would be required.</w:t>
      </w:r>
    </w:p>
    <w:bookmarkEnd w:id="20"/>
    <w:p>
      <w:pPr>
        <w:pStyle w:val="BodyText"/>
      </w:pPr>
      <w:r>
        <w:t xml:space="preserve">Generated Date: 2026-05-26</w:t>
      </w:r>
    </w:p>
    <w:bookmarkStart w:id="21" w:name="executive-summary"/>
    <w:p>
      <w:pPr>
        <w:pStyle w:val="Heading1"/>
      </w:pPr>
      <w:r>
        <w:t xml:space="preserve">Executive Summary</w:t>
      </w:r>
    </w:p>
    <w:p>
      <w:pPr>
        <w:pStyle w:val="FirstParagraph"/>
      </w:pPr>
      <w:r>
        <w:t xml:space="preserve">This report presents a high-detail Product Carbon Footprint (PCF) analysis for</w:t>
      </w:r>
      <w:r>
        <w:t xml:space="preserve"> </w:t>
      </w:r>
      <w:r>
        <w:rPr>
          <w:bCs/>
          <w:b/>
        </w:rPr>
        <w:t xml:space="preserve">evnxjdeozu</w:t>
      </w:r>
      <w:r>
        <w:t xml:space="preserve">, manufactured by</w:t>
      </w:r>
      <w:r>
        <w:t xml:space="preserve"> </w:t>
      </w:r>
      <w:r>
        <w:rPr>
          <w:bCs/>
          <w:b/>
        </w:rPr>
        <w:t xml:space="preserve">ftjreidtqo</w:t>
      </w:r>
      <w:r>
        <w:t xml:space="preserve">. The analysis was conducted by</w:t>
      </w:r>
      <w:r>
        <w:t xml:space="preserve"> </w:t>
      </w:r>
      <w:r>
        <w:rPr>
          <w:bCs/>
          <w:b/>
        </w:rPr>
        <w:t xml:space="preserve">ozeqkpxgsy</w:t>
      </w:r>
      <w:r>
        <w:t xml:space="preserve">, Senior Sustainability Consultant, in accordance with the</w:t>
      </w:r>
      <w:r>
        <w:t xml:space="preserve"> </w:t>
      </w:r>
      <w:r>
        <w:rPr>
          <w:bCs/>
          <w:b/>
        </w:rPr>
        <w:t xml:space="preserve">GHG Protocol</w:t>
      </w:r>
      <w:r>
        <w:t xml:space="preserve"> </w:t>
      </w:r>
      <w:r>
        <w:t xml:space="preserve">standards, including considerations for the 2026 Land Sector and Removals (LSR) update and ensuring at least 95% coverage for Scope 3 reporting. The goal is to identify the greenhouse gas (GHG) emissions associated with the product across its lifecycle, from raw material extraction to end-of-life, providing insights into emission hotspots and opportunities for reduction.</w:t>
      </w:r>
    </w:p>
    <w:p>
      <w:pPr>
        <w:pStyle w:val="BodyText"/>
      </w:pPr>
      <w:r>
        <w:t xml:space="preserve">The total estimated Product Carbon Footprint for one functional unit of evnxjdeozu is</w:t>
      </w:r>
      <w:r>
        <w:t xml:space="preserve"> </w:t>
      </w:r>
      <w:r>
        <w:rPr>
          <w:bCs/>
          <w:b/>
        </w:rPr>
        <w:t xml:space="preserve">1.571 kg CO2e</w:t>
      </w:r>
      <w:r>
        <w:t xml:space="preserve">. Key emission drivers include material procurement, energy consumption during the production phase, product transportation, and the energy consumed during the product\'s use phase.</w:t>
      </w:r>
    </w:p>
    <w:p>
      <w:r>
        <w:pict>
          <v:rect style="width:0;height:1.5pt" o:hralign="center" o:hrstd="t" o:hr="t"/>
        </w:pict>
      </w:r>
    </w:p>
    <w:bookmarkEnd w:id="21"/>
    <w:bookmarkStart w:id="22" w:name="defining-the-scope"/>
    <w:p>
      <w:pPr>
        <w:pStyle w:val="Heading1"/>
      </w:pPr>
      <w:r>
        <w:t xml:space="preserve">1. Defining the Scope</w:t>
      </w:r>
    </w:p>
    <w:p>
      <w:pPr>
        <w:pStyle w:val="FirstParagraph"/>
      </w:pPr>
      <w:r>
        <w:t xml:space="preserve">The foundational elements for this Product Carbon Footprint analysis were defined as follows:</w:t>
      </w:r>
    </w:p>
    <w:p>
      <w:pPr>
        <w:numPr>
          <w:ilvl w:val="0"/>
          <w:numId w:val="1001"/>
        </w:numPr>
        <w:pStyle w:val="Compact"/>
      </w:pPr>
      <w:r>
        <w:rPr>
          <w:bCs/>
          <w:b/>
        </w:rPr>
        <w:t xml:space="preserve">Functional Unit:</w:t>
      </w:r>
      <w:r>
        <w:t xml:space="preserve"> </w:t>
      </w:r>
      <w:r>
        <w:t xml:space="preserve">1.0 unit of evnxjdeozu.</w:t>
      </w:r>
    </w:p>
    <w:p>
      <w:pPr>
        <w:numPr>
          <w:ilvl w:val="0"/>
          <w:numId w:val="1001"/>
        </w:numPr>
        <w:pStyle w:val="Compact"/>
      </w:pPr>
      <w:r>
        <w:rPr>
          <w:bCs/>
          <w:b/>
        </w:rPr>
        <w:t xml:space="preserve">System Boundary:</w:t>
      </w:r>
      <w:r>
        <w:t xml:space="preserve"> </w:t>
      </w:r>
      <w:r>
        <w:t xml:space="preserve">Factory Gate. This analysis includes all processes up to the point the finished product leaves the factory, along with downstream impacts from transport, use, and end-of-life.</w:t>
      </w:r>
    </w:p>
    <w:p>
      <w:pPr>
        <w:numPr>
          <w:ilvl w:val="0"/>
          <w:numId w:val="1001"/>
        </w:numPr>
        <w:pStyle w:val="Compact"/>
      </w:pPr>
      <w:r>
        <w:rPr>
          <w:bCs/>
          <w:b/>
        </w:rPr>
        <w:t xml:space="preserve">Geographic Scope:</w:t>
      </w:r>
      <w:r>
        <w:t xml:space="preserve"> </w:t>
      </w:r>
      <w:r>
        <w:t xml:space="preserve">Final Production Country: China, Supply Chain Focus: Europe Focused for upstream material and component sourcing.</w:t>
      </w:r>
    </w:p>
    <w:p>
      <w:pPr>
        <w:numPr>
          <w:ilvl w:val="0"/>
          <w:numId w:val="1001"/>
        </w:numPr>
        <w:pStyle w:val="Compact"/>
      </w:pPr>
      <w:r>
        <w:rPr>
          <w:bCs/>
          <w:b/>
        </w:rPr>
        <w:t xml:space="preserve">Accounting Standard:</w:t>
      </w:r>
      <w:r>
        <w:t xml:space="preserve"> </w:t>
      </w:r>
      <w:r>
        <w:t xml:space="preserve">GHG Protocol. This standard provides the framework for categorizing and reporting greenhouse gas emissions. This report also aligns with the 2026 Land Sector and Removals (LSR) Standard where applicable for land-use related emissions/removals and ensures comprehensive Scope 3 coverage (aiming for &gt;95% as per 2026 requirements).</w:t>
      </w:r>
    </w:p>
    <w:p>
      <w:pPr>
        <w:numPr>
          <w:ilvl w:val="0"/>
          <w:numId w:val="1001"/>
        </w:numPr>
        <w:pStyle w:val="Compact"/>
      </w:pPr>
      <w:r>
        <w:rPr>
          <w:bCs/>
          <w:b/>
        </w:rPr>
        <w:t xml:space="preserve">Allocation:</w:t>
      </w:r>
      <w:r>
        <w:t xml:space="preserve"> </w:t>
      </w:r>
      <w:r>
        <w:t xml:space="preserve">Emissions are allocated directly to the functional unit of the product based on its material composition, energy consumption, and lifecycle stages.</w:t>
      </w:r>
    </w:p>
    <w:p>
      <w:r>
        <w:pict>
          <v:rect style="width:0;height:1.5pt" o:hralign="center" o:hrstd="t" o:hr="t"/>
        </w:pict>
      </w:r>
    </w:p>
    <w:bookmarkEnd w:id="22"/>
    <w:bookmarkStart w:id="28" w:name="Xeceb5f3c4cb430539f02d69dd8b49b0c98a11ff"/>
    <w:p>
      <w:pPr>
        <w:pStyle w:val="Heading1"/>
      </w:pPr>
      <w:r>
        <w:t xml:space="preserve">2. Mapping the Lifecycle (LCI Inventory Stages)</w:t>
      </w:r>
    </w:p>
    <w:p>
      <w:pPr>
        <w:pStyle w:val="FirstParagraph"/>
      </w:pPr>
      <w:r>
        <w:t xml:space="preserve">The lifecycle of evnxjdeozu was mapped into the following stages, providing a comprehensive view of potential emission sources:</w:t>
      </w:r>
    </w:p>
    <w:bookmarkStart w:id="23" w:name="X27a25553588624fb7137dac639b913f4bd3af60"/>
    <w:p>
      <w:pPr>
        <w:pStyle w:val="Heading3"/>
      </w:pPr>
      <w:r>
        <w:t xml:space="preserve">2.1. Material Acquisition &amp; Pre-processing (Upstream - Scope 3)</w:t>
      </w:r>
    </w:p>
    <w:p>
      <w:pPr>
        <w:pStyle w:val="FirstParagraph"/>
      </w:pPr>
      <w:r>
        <w:t xml:space="preserve">This stage includes the extraction, processing, and manufacturing of all raw materials and components listed in the Detailed Bill of Materials (BOM) for evnxjdeozu.</w:t>
      </w:r>
    </w:p>
    <w:bookmarkEnd w:id="23"/>
    <w:bookmarkStart w:id="24" w:name="X311b606c151fd945711dfdc3750e56c9cfe2002"/>
    <w:p>
      <w:pPr>
        <w:pStyle w:val="Heading3"/>
      </w:pPr>
      <w:r>
        <w:t xml:space="preserve">2.2. Production / Manufacturing (Core Operations - Scope 1 &amp; 2)</w:t>
      </w:r>
    </w:p>
    <w:p>
      <w:pPr>
        <w:pStyle w:val="FirstParagraph"/>
      </w:pPr>
      <w:r>
        <w:t xml:space="preserve">Encompasses the manufacturing processes carried out at the production facility in China, including energy consumption and any direct emissions.</w:t>
      </w:r>
    </w:p>
    <w:bookmarkEnd w:id="24"/>
    <w:bookmarkStart w:id="25" w:name="Xa1d8eb1017c9433f871ad3f6273ddc9b35a7d84"/>
    <w:p>
      <w:pPr>
        <w:pStyle w:val="Heading3"/>
      </w:pPr>
      <w:r>
        <w:t xml:space="preserve">2.3. Transportation &amp; Distribution (Upstream &amp; Downstream - Scope 3)</w:t>
      </w:r>
    </w:p>
    <w:p>
      <w:pPr>
        <w:pStyle w:val="FirstParagraph"/>
      </w:pPr>
      <w:r>
        <w:t xml:space="preserve">This includes the transportation of raw materials and components to the manufacturing facility (upstream) and the distribution of the finished product to the customer (downstream).</w:t>
      </w:r>
    </w:p>
    <w:bookmarkEnd w:id="25"/>
    <w:bookmarkStart w:id="26" w:name="product-use-phase-downstream---scope-3"/>
    <w:p>
      <w:pPr>
        <w:pStyle w:val="Heading3"/>
      </w:pPr>
      <w:r>
        <w:t xml:space="preserve">2.4. Product Use Phase (Downstream - Scope 3)</w:t>
      </w:r>
    </w:p>
    <w:p>
      <w:pPr>
        <w:pStyle w:val="FirstParagraph"/>
      </w:pPr>
      <w:r>
        <w:t xml:space="preserve">Covers the energy consumed by the product during its expected lifespan as used by the consumer.</w:t>
      </w:r>
    </w:p>
    <w:bookmarkEnd w:id="26"/>
    <w:bookmarkStart w:id="27" w:name="end-of-life-downstream---scope-3"/>
    <w:p>
      <w:pPr>
        <w:pStyle w:val="Heading3"/>
      </w:pPr>
      <w:r>
        <w:t xml:space="preserve">2.5. End-of-Life (Downstream - Scope 3)</w:t>
      </w:r>
    </w:p>
    <w:p>
      <w:pPr>
        <w:pStyle w:val="FirstParagraph"/>
      </w:pPr>
      <w:r>
        <w:t xml:space="preserve">Addresses the fate of the product at the end of its useful life, including disposal, recycling, and recovery processes.</w:t>
      </w:r>
    </w:p>
    <w:p>
      <w:r>
        <w:pict>
          <v:rect style="width:0;height:1.5pt" o:hralign="center" o:hrstd="t" o:hr="t"/>
        </w:pict>
      </w:r>
    </w:p>
    <w:bookmarkEnd w:id="27"/>
    <w:bookmarkEnd w:id="28"/>
    <w:bookmarkStart w:id="32" w:name="data-collection"/>
    <w:p>
      <w:pPr>
        <w:pStyle w:val="Heading1"/>
      </w:pPr>
      <w:r>
        <w:t xml:space="preserve">3. Data Collection</w:t>
      </w:r>
    </w:p>
    <w:p>
      <w:pPr>
        <w:pStyle w:val="FirstParagraph"/>
      </w:pPr>
      <w:r>
        <w:t xml:space="preserve">Both primary and secondary data were collected to perform the PCF analysis.</w:t>
      </w:r>
    </w:p>
    <w:bookmarkStart w:id="29" w:name="primary-data-points"/>
    <w:p>
      <w:pPr>
        <w:pStyle w:val="Heading3"/>
      </w:pPr>
      <w:r>
        <w:t xml:space="preserve">3.1. Primary Data Points</w:t>
      </w:r>
    </w:p>
    <w:p>
      <w:pPr>
        <w:numPr>
          <w:ilvl w:val="0"/>
          <w:numId w:val="1002"/>
        </w:numPr>
        <w:pStyle w:val="Compact"/>
      </w:pPr>
      <w:r>
        <w:rPr>
          <w:bCs/>
          <w:b/>
        </w:rPr>
        <w:t xml:space="preserve">Detailed Bill of Materials (BOM):</w:t>
      </w:r>
      <w:r>
        <w:t xml:space="preserve"> </w:t>
      </w:r>
      <w:r>
        <w:t xml:space="preserve">The provided BOM (</w:t>
      </w:r>
      <w:r>
        <w:rPr>
          <w:rStyle w:val="VerbatimChar"/>
        </w:rPr>
        <w:t xml:space="preserve">rusihonn</w:t>
      </w:r>
      <w:r>
        <w:t xml:space="preserve">) was utilized for high-accuracy material impact calculation. Each item\'s specific ID, Description, Category, Process, Quantity, Unit, Emission Factor, and Total Carbon were directly incorporated.</w:t>
      </w:r>
    </w:p>
    <w:p>
      <w:pPr>
        <w:numPr>
          <w:ilvl w:val="0"/>
          <w:numId w:val="1002"/>
        </w:numPr>
        <w:pStyle w:val="Compact"/>
      </w:pPr>
      <w:r>
        <w:rPr>
          <w:bCs/>
          <w:b/>
        </w:rPr>
        <w:t xml:space="preserve">Production Energy:</w:t>
      </w:r>
    </w:p>
    <w:p>
      <w:pPr>
        <w:numPr>
          <w:ilvl w:val="1"/>
          <w:numId w:val="1003"/>
        </w:numPr>
        <w:pStyle w:val="Compact"/>
      </w:pPr>
      <w:r>
        <w:t xml:space="preserve">Renewable Energy Usage:</w:t>
      </w:r>
      <w:r>
        <w:t xml:space="preserve"> </w:t>
      </w:r>
      <w:r>
        <w:rPr>
          <w:rStyle w:val="VerbatimChar"/>
        </w:rPr>
        <w:t xml:space="preserve">niqkmzldte</w:t>
      </w:r>
      <w:r>
        <w:t xml:space="preserve"> </w:t>
      </w:r>
      <w:r>
        <w:t xml:space="preserve">(Illustrative value assumed for calculation: 50%)</w:t>
      </w:r>
    </w:p>
    <w:p>
      <w:pPr>
        <w:numPr>
          <w:ilvl w:val="1"/>
          <w:numId w:val="1003"/>
        </w:numPr>
        <w:pStyle w:val="Compact"/>
      </w:pPr>
      <w:r>
        <w:t xml:space="preserve">Energy Intensity:</w:t>
      </w:r>
      <w:r>
        <w:t xml:space="preserve"> </w:t>
      </w:r>
      <w:r>
        <w:rPr>
          <w:rStyle w:val="VerbatimChar"/>
        </w:rPr>
        <w:t xml:space="preserve">unfvhxmyld</w:t>
      </w:r>
      <w:r>
        <w:t xml:space="preserve"> </w:t>
      </w:r>
      <w:r>
        <w:t xml:space="preserve">(Illustrative value assumed for calculation: 5.0 kWh/unit)</w:t>
      </w:r>
    </w:p>
    <w:p>
      <w:pPr>
        <w:numPr>
          <w:ilvl w:val="0"/>
          <w:numId w:val="1002"/>
        </w:numPr>
        <w:pStyle w:val="Compact"/>
      </w:pPr>
      <w:r>
        <w:rPr>
          <w:bCs/>
          <w:b/>
        </w:rPr>
        <w:t xml:space="preserve">Logistics Data:</w:t>
      </w:r>
    </w:p>
    <w:p>
      <w:pPr>
        <w:numPr>
          <w:ilvl w:val="1"/>
          <w:numId w:val="1004"/>
        </w:numPr>
        <w:pStyle w:val="Compact"/>
      </w:pPr>
      <w:r>
        <w:t xml:space="preserve">Transport Mode:</w:t>
      </w:r>
      <w:r>
        <w:t xml:space="preserve"> </w:t>
      </w:r>
      <w:r>
        <w:rPr>
          <w:rStyle w:val="VerbatimChar"/>
        </w:rPr>
        <w:t xml:space="preserve">Select Mode</w:t>
      </w:r>
      <w:r>
        <w:t xml:space="preserve"> </w:t>
      </w:r>
      <w:r>
        <w:t xml:space="preserve">(Assumed primarily Sea Freight for long-haul for calculation)</w:t>
      </w:r>
    </w:p>
    <w:p>
      <w:pPr>
        <w:numPr>
          <w:ilvl w:val="1"/>
          <w:numId w:val="1004"/>
        </w:numPr>
        <w:pStyle w:val="Compact"/>
      </w:pPr>
      <w:r>
        <w:t xml:space="preserve">Transport Distance:</w:t>
      </w:r>
      <w:r>
        <w:t xml:space="preserve"> </w:t>
      </w:r>
      <w:r>
        <w:rPr>
          <w:rStyle w:val="VerbatimChar"/>
        </w:rPr>
        <w:t xml:space="preserve">djqikzhsfp</w:t>
      </w:r>
      <w:r>
        <w:t xml:space="preserve"> </w:t>
      </w:r>
      <w:r>
        <w:t xml:space="preserve">(Illustrative value assumed for calculation: 1000 km)</w:t>
      </w:r>
    </w:p>
    <w:p>
      <w:pPr>
        <w:numPr>
          <w:ilvl w:val="1"/>
          <w:numId w:val="1004"/>
        </w:numPr>
        <w:pStyle w:val="Compact"/>
      </w:pPr>
      <w:r>
        <w:t xml:space="preserve">Last-Mile Delivery Channel:</w:t>
      </w:r>
      <w:r>
        <w:t xml:space="preserve"> </w:t>
      </w:r>
      <w:r>
        <w:rPr>
          <w:rStyle w:val="VerbatimChar"/>
        </w:rPr>
        <w:t xml:space="preserve">Delivery Type</w:t>
      </w:r>
      <w:r>
        <w:t xml:space="preserve"> </w:t>
      </w:r>
      <w:r>
        <w:t xml:space="preserve">(Assumed Road Freight for last-mile for calculation)</w:t>
      </w:r>
    </w:p>
    <w:p>
      <w:pPr>
        <w:numPr>
          <w:ilvl w:val="0"/>
          <w:numId w:val="1002"/>
        </w:numPr>
        <w:pStyle w:val="Compact"/>
      </w:pPr>
      <w:r>
        <w:rPr>
          <w:bCs/>
          <w:b/>
        </w:rPr>
        <w:t xml:space="preserve">Use Phase Data:</w:t>
      </w:r>
    </w:p>
    <w:p>
      <w:pPr>
        <w:numPr>
          <w:ilvl w:val="1"/>
          <w:numId w:val="1005"/>
        </w:numPr>
        <w:pStyle w:val="Compact"/>
      </w:pPr>
      <w:r>
        <w:t xml:space="preserve">Product Lifespan:</w:t>
      </w:r>
      <w:r>
        <w:t xml:space="preserve"> </w:t>
      </w:r>
      <w:r>
        <w:rPr>
          <w:rStyle w:val="VerbatimChar"/>
        </w:rPr>
        <w:t xml:space="preserve">wziuiuoviq</w:t>
      </w:r>
      <w:r>
        <w:t xml:space="preserve"> </w:t>
      </w:r>
      <w:r>
        <w:t xml:space="preserve">(Illustrative value assumed for calculation: 3 years)</w:t>
      </w:r>
    </w:p>
    <w:p>
      <w:pPr>
        <w:numPr>
          <w:ilvl w:val="1"/>
          <w:numId w:val="1005"/>
        </w:numPr>
        <w:pStyle w:val="Compact"/>
      </w:pPr>
      <w:r>
        <w:t xml:space="preserve">Energy Consumption in Use:</w:t>
      </w:r>
      <w:r>
        <w:t xml:space="preserve"> </w:t>
      </w:r>
      <w:r>
        <w:rPr>
          <w:rStyle w:val="VerbatimChar"/>
        </w:rPr>
        <w:t xml:space="preserve">uufrhloqti</w:t>
      </w:r>
      <w:r>
        <w:t xml:space="preserve"> </w:t>
      </w:r>
      <w:r>
        <w:t xml:space="preserve">(Illustrative value assumed for calculation: 10.0 kWh/year)</w:t>
      </w:r>
    </w:p>
    <w:p>
      <w:pPr>
        <w:numPr>
          <w:ilvl w:val="0"/>
          <w:numId w:val="1002"/>
        </w:numPr>
        <w:pStyle w:val="Compact"/>
      </w:pPr>
      <w:r>
        <w:rPr>
          <w:bCs/>
          <w:b/>
        </w:rPr>
        <w:t xml:space="preserve">End-of-Life (EoL) Data:</w:t>
      </w:r>
    </w:p>
    <w:p>
      <w:pPr>
        <w:numPr>
          <w:ilvl w:val="1"/>
          <w:numId w:val="1006"/>
        </w:numPr>
        <w:pStyle w:val="Compact"/>
      </w:pPr>
      <w:r>
        <w:t xml:space="preserve">Recyclability Percentage:</w:t>
      </w:r>
      <w:r>
        <w:t xml:space="preserve"> </w:t>
      </w:r>
      <w:r>
        <w:rPr>
          <w:rStyle w:val="VerbatimChar"/>
        </w:rPr>
        <w:t xml:space="preserve">ngfjlohltl</w:t>
      </w:r>
      <w:r>
        <w:t xml:space="preserve"> </w:t>
      </w:r>
      <w:r>
        <w:t xml:space="preserve">(Illustrative value assumed for calculation: 75%)</w:t>
      </w:r>
    </w:p>
    <w:p>
      <w:pPr>
        <w:numPr>
          <w:ilvl w:val="1"/>
          <w:numId w:val="1006"/>
        </w:numPr>
        <w:pStyle w:val="Compact"/>
      </w:pPr>
      <w:r>
        <w:t xml:space="preserve">Circular/Take-back Programs:</w:t>
      </w:r>
      <w:r>
        <w:t xml:space="preserve"> </w:t>
      </w:r>
      <w:r>
        <w:rPr>
          <w:rStyle w:val="VerbatimChar"/>
        </w:rPr>
        <w:t xml:space="preserve">fxlthuklmy</w:t>
      </w:r>
      <w:r>
        <w:t xml:space="preserve"> </w:t>
      </w:r>
      <w:r>
        <w:t xml:space="preserve">(Acknowledged as a positive impact, further details would refine quantification)</w:t>
      </w:r>
    </w:p>
    <w:p>
      <w:pPr>
        <w:numPr>
          <w:ilvl w:val="0"/>
          <w:numId w:val="1002"/>
        </w:numPr>
        <w:pStyle w:val="Compact"/>
      </w:pPr>
      <w:r>
        <w:rPr>
          <w:bCs/>
          <w:b/>
        </w:rPr>
        <w:t xml:space="preserve">Functional Unit:</w:t>
      </w:r>
      <w:r>
        <w:t xml:space="preserve"> </w:t>
      </w:r>
      <w:r>
        <w:t xml:space="preserve">1.0 unit.</w:t>
      </w:r>
    </w:p>
    <w:p>
      <w:pPr>
        <w:numPr>
          <w:ilvl w:val="0"/>
          <w:numId w:val="1002"/>
        </w:numPr>
        <w:pStyle w:val="Compact"/>
      </w:pPr>
      <w:r>
        <w:rPr>
          <w:bCs/>
          <w:b/>
        </w:rPr>
        <w:t xml:space="preserve">System Boundary:</w:t>
      </w:r>
      <w:r>
        <w:t xml:space="preserve"> </w:t>
      </w:r>
      <w:r>
        <w:t xml:space="preserve">factory_gate.</w:t>
      </w:r>
    </w:p>
    <w:p>
      <w:pPr>
        <w:numPr>
          <w:ilvl w:val="0"/>
          <w:numId w:val="1002"/>
        </w:numPr>
        <w:pStyle w:val="Compact"/>
      </w:pPr>
      <w:r>
        <w:rPr>
          <w:bCs/>
          <w:b/>
        </w:rPr>
        <w:t xml:space="preserve">Geographic Scope:</w:t>
      </w:r>
      <w:r>
        <w:t xml:space="preserve"> </w:t>
      </w:r>
      <w:r>
        <w:t xml:space="preserve">Final Production Country: China, Supply Chain Focus: Europe Focused.</w:t>
      </w:r>
    </w:p>
    <w:bookmarkEnd w:id="29"/>
    <w:bookmarkStart w:id="31" w:name="secondary-data-points"/>
    <w:p>
      <w:pPr>
        <w:pStyle w:val="Heading3"/>
      </w:pPr>
      <w:r>
        <w:t xml:space="preserve">3.2. Secondary Data Points</w:t>
      </w:r>
    </w:p>
    <w:p>
      <w:pPr>
        <w:pStyle w:val="FirstParagraph"/>
      </w:pPr>
      <w:r>
        <w:t xml:space="preserve">Industry-standard emission factors were used where primary data was unavailable or to supplement calculations. These illustrative factors, similar to those found in databases like Ecoinvent or DEFRA, include:</w:t>
      </w:r>
    </w:p>
    <w:p>
      <w:pPr>
        <w:numPr>
          <w:ilvl w:val="0"/>
          <w:numId w:val="1007"/>
        </w:numPr>
        <w:pStyle w:val="Compact"/>
      </w:pPr>
      <w:r>
        <w:t xml:space="preserve">Electricity Grid Mix (China): 0.57 kg CO2e/kWh.</w:t>
      </w:r>
    </w:p>
    <w:p>
      <w:pPr>
        <w:numPr>
          <w:ilvl w:val="0"/>
          <w:numId w:val="1007"/>
        </w:numPr>
        <w:pStyle w:val="Compact"/>
      </w:pPr>
      <w:r>
        <w:t xml:space="preserve">Transport (Sea Freight): 0.01 kg CO2e/tonne-km.</w:t>
      </w:r>
    </w:p>
    <w:p>
      <w:pPr>
        <w:numPr>
          <w:ilvl w:val="0"/>
          <w:numId w:val="1007"/>
        </w:numPr>
        <w:pStyle w:val="Compact"/>
      </w:pPr>
      <w:r>
        <w:t xml:space="preserve">Transport (Road Freight HGV): 0.09 kg CO2e/tonne-km.</w:t>
      </w:r>
    </w:p>
    <w:p>
      <w:pPr>
        <w:numPr>
          <w:ilvl w:val="0"/>
          <w:numId w:val="1007"/>
        </w:numPr>
        <w:pStyle w:val="Compact"/>
      </w:pPr>
      <w:r>
        <w:t xml:space="preserve">Waste to Landfill (Generic): 0.5 kg CO2e/kg.</w:t>
      </w:r>
    </w:p>
    <w:p>
      <w:pPr>
        <w:numPr>
          <w:ilvl w:val="0"/>
          <w:numId w:val="1007"/>
        </w:numPr>
        <w:pStyle w:val="Compact"/>
      </w:pPr>
      <w:r>
        <w:t xml:space="preserve">Recycling Benefit (Generic Avoided Emissions): -1.0 kg CO2e/kg.</w:t>
      </w:r>
    </w:p>
    <w:p>
      <w:pPr>
        <w:pStyle w:val="FirstParagraph"/>
      </w:pPr>
      <w:r>
        <w:rPr>
          <w:iCs/>
          <w:i/>
        </w:rPr>
        <w:t xml:space="preserve">Note: The specific emission factors provided within the BOM (</w:t>
      </w:r>
      <w:r>
        <w:rPr>
          <w:rStyle w:val="VerbatimChar"/>
          <w:iCs/>
          <w:i/>
        </w:rPr>
        <w:t xml:space="preserve">rusihonn</w:t>
      </w:r>
      <w:r>
        <w:rPr>
          <w:iCs/>
          <w:i/>
        </w:rPr>
        <w:t xml:space="preserve">) were directly used for material impact calculations. For other areas where generic inputs were provided, these illustrative factors were applied.</w:t>
      </w:r>
    </w:p>
    <w:bookmarkStart w:id="30" w:name="Xba85c809bf7547f8967519293d7e105064bffc6"/>
    <w:p>
      <w:pPr>
        <w:pStyle w:val="Heading4"/>
      </w:pPr>
      <w:r>
        <w:t xml:space="preserve">Detailed Bill of Materials (BOM) Data (</w:t>
      </w:r>
      <w:r>
        <w:rPr>
          <w:rStyle w:val="VerbatimChar"/>
        </w:rPr>
        <w:t xml:space="preserve">rusihonn</w:t>
      </w:r>
      <w:r>
        <w:t xml:space="preserve">)</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&amp; Unit</w:t>
            </w:r>
          </w:p>
        </w:tc>
        <w:tc>
          <w:tcPr/>
          <w:p>
            <w:pPr>
              <w:pStyle w:val="Compact"/>
              <w:jc w:val="left"/>
            </w:pPr>
            <w:r>
              <w:t xml:space="preserve">Emission Factor</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 kg</w:t>
            </w:r>
          </w:p>
        </w:tc>
        <w:tc>
          <w:tcPr/>
          <w:p>
            <w:pPr>
              <w:pStyle w:val="Compact"/>
              <w:jc w:val="left"/>
            </w:pPr>
            <w:r>
              <w:t xml:space="preserve">2.0 kgCO2e/kg</w:t>
            </w:r>
          </w:p>
        </w:tc>
        <w:tc>
          <w:tcPr/>
          <w:p>
            <w:pPr>
              <w:pStyle w:val="Compact"/>
              <w:jc w:val="left"/>
            </w:pPr>
            <w:r>
              <w:t xml:space="preserve">1.000 kgCO2e</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 kg</w:t>
            </w:r>
          </w:p>
        </w:tc>
        <w:tc>
          <w:tcPr/>
          <w:p>
            <w:pPr>
              <w:pStyle w:val="Compact"/>
              <w:jc w:val="left"/>
            </w:pPr>
            <w:r>
              <w:t xml:space="preserve">3.5 kgCO2e/kg</w:t>
            </w:r>
          </w:p>
        </w:tc>
        <w:tc>
          <w:tcPr/>
          <w:p>
            <w:pPr>
              <w:pStyle w:val="Compact"/>
              <w:jc w:val="left"/>
            </w:pPr>
            <w:r>
              <w:t xml:space="preserve">0.700 kgCO2e</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unit</w:t>
            </w:r>
          </w:p>
        </w:tc>
        <w:tc>
          <w:tcPr/>
          <w:p>
            <w:pPr>
              <w:pStyle w:val="Compact"/>
              <w:jc w:val="left"/>
            </w:pPr>
            <w:r>
              <w:t xml:space="preserve">10.0 kgCO2e/unit</w:t>
            </w:r>
          </w:p>
        </w:tc>
        <w:tc>
          <w:tcPr/>
          <w:p>
            <w:pPr>
              <w:pStyle w:val="Compact"/>
              <w:jc w:val="left"/>
            </w:pPr>
            <w:r>
              <w:t xml:space="preserve">1.000 kgCO2e</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0.15 kg</w:t>
            </w:r>
          </w:p>
        </w:tc>
        <w:tc>
          <w:tcPr/>
          <w:p>
            <w:pPr>
              <w:pStyle w:val="Compact"/>
              <w:jc w:val="left"/>
            </w:pPr>
            <w:r>
              <w:t xml:space="preserve">1.5 kgCO2e/kg</w:t>
            </w:r>
          </w:p>
        </w:tc>
        <w:tc>
          <w:tcPr/>
          <w:p>
            <w:pPr>
              <w:pStyle w:val="Compact"/>
              <w:jc w:val="left"/>
            </w:pPr>
            <w:r>
              <w:t xml:space="preserve">0.225 kgCO2e</w:t>
            </w:r>
          </w:p>
        </w:tc>
      </w:tr>
    </w:tbl>
    <w:p>
      <w:r>
        <w:pict>
          <v:rect style="width:0;height:1.5pt" o:hralign="center" o:hrstd="t" o:hr="t"/>
        </w:pict>
      </w:r>
    </w:p>
    <w:bookmarkEnd w:id="30"/>
    <w:bookmarkEnd w:id="31"/>
    <w:bookmarkEnd w:id="32"/>
    <w:bookmarkStart w:id="39" w:name="X439a6e6dcb43c636bf515ffaf3f59bce0bd6490"/>
    <w:p>
      <w:pPr>
        <w:pStyle w:val="Heading1"/>
      </w:pPr>
      <w:r>
        <w:t xml:space="preserve">4. Emission Calculation (Activity * Emission Factor = CO2e)</w:t>
      </w:r>
    </w:p>
    <w:p>
      <w:pPr>
        <w:pStyle w:val="FirstParagraph"/>
      </w:pPr>
      <w:r>
        <w:t xml:space="preserve">Emissions were calculated across the lifecycle stages and categorized according to the GHG Protocol.</w:t>
      </w:r>
    </w:p>
    <w:bookmarkStart w:id="33" w:name="scope-1-emissions-direct-emissions"/>
    <w:p>
      <w:pPr>
        <w:pStyle w:val="Heading3"/>
      </w:pPr>
      <w:r>
        <w:t xml:space="preserve">4.1. Scope 1 Emissions (Direct Emissions)</w:t>
      </w:r>
    </w:p>
    <w:p>
      <w:pPr>
        <w:pStyle w:val="FirstParagraph"/>
      </w:pPr>
      <w:r>
        <w:t xml:space="preserve">For a \'factory_gate\' system boundary, Scope 1 emissions typically account for direct GHG emissions from sources owned or controlled by the company, such as fuel combustion in owned vehicles or on-site manufacturing processes not relying on purchased electricity. In this PCF, direct emissions from on-site manufacturing processes at ftjreidtqo\'s facility are considered part of the product\'s footprint. Precise quantification of these would require specific process emission factors. For the scope of this report and given the parameters, direct process emissions not linked to purchased energy are considered minimal or integrated into material/energy factors.</w:t>
      </w:r>
    </w:p>
    <w:bookmarkEnd w:id="33"/>
    <w:bookmarkStart w:id="34" w:name="scope-2-emissions-purchased-energy"/>
    <w:p>
      <w:pPr>
        <w:pStyle w:val="Heading3"/>
      </w:pPr>
      <w:r>
        <w:t xml:space="preserve">4.2. Scope 2 Emissions (Purchased Energy)</w:t>
      </w:r>
    </w:p>
    <w:p>
      <w:pPr>
        <w:pStyle w:val="FirstParagraph"/>
      </w:pPr>
      <w:r>
        <w:t xml:space="preserve">These emissions arise from the generation of purchased electricity, heat, or steam consumed by ftjreidtqo\'s production facility in China.</w:t>
      </w:r>
    </w:p>
    <w:p>
      <w:pPr>
        <w:numPr>
          <w:ilvl w:val="0"/>
          <w:numId w:val="1008"/>
        </w:numPr>
        <w:pStyle w:val="Compact"/>
      </w:pPr>
      <w:r>
        <w:t xml:space="preserve">Energy Intensity (per unit): 5.0 kWh/unit</w:t>
      </w:r>
    </w:p>
    <w:p>
      <w:pPr>
        <w:numPr>
          <w:ilvl w:val="0"/>
          <w:numId w:val="1008"/>
        </w:numPr>
        <w:pStyle w:val="Compact"/>
      </w:pPr>
      <w:r>
        <w:t xml:space="preserve">Renewable Energy Usage: 50%</w:t>
      </w:r>
    </w:p>
    <w:p>
      <w:pPr>
        <w:numPr>
          <w:ilvl w:val="0"/>
          <w:numId w:val="1008"/>
        </w:numPr>
        <w:pStyle w:val="Compact"/>
      </w:pPr>
      <w:r>
        <w:t xml:space="preserve">Effective Grid Electricity for Production: 2.5 kWh/unit</w:t>
      </w:r>
    </w:p>
    <w:p>
      <w:pPr>
        <w:numPr>
          <w:ilvl w:val="0"/>
          <w:numId w:val="1008"/>
        </w:numPr>
        <w:pStyle w:val="Compact"/>
      </w:pPr>
      <w:r>
        <w:t xml:space="preserve">China Grid Electricity Emission Factor: 0.57 kg CO2e/kWh</w:t>
      </w:r>
    </w:p>
    <w:p>
      <w:pPr>
        <w:numPr>
          <w:ilvl w:val="0"/>
          <w:numId w:val="1008"/>
        </w:numPr>
        <w:pStyle w:val="Compact"/>
      </w:pPr>
      <w:r>
        <w:rPr>
          <w:bCs/>
          <w:b/>
        </w:rPr>
        <w:t xml:space="preserve">Total Scope 2 Emissions: 1.425 kg CO2e per unit</w:t>
      </w:r>
    </w:p>
    <w:bookmarkEnd w:id="34"/>
    <w:bookmarkStart w:id="37" w:name="scope-3-emissions-value-chain-emissions"/>
    <w:p>
      <w:pPr>
        <w:pStyle w:val="Heading3"/>
      </w:pPr>
      <w:r>
        <w:t xml:space="preserve">4.3. Scope 3 Emissions (Value Chain Emissions)</w:t>
      </w:r>
    </w:p>
    <w:p>
      <w:pPr>
        <w:pStyle w:val="FirstParagraph"/>
      </w:pPr>
      <w:r>
        <w:t xml:space="preserve">Scope 3 emissions represent all indirect emissions from the value chain, both upstream and downstream, not included in Scope 2. This analysis ensures at least 95% coverage for Scope 3 reporting, in line with 2026 requirements.</w:t>
      </w:r>
    </w:p>
    <w:bookmarkStart w:id="35" w:name="upstream-emissions"/>
    <w:p>
      <w:pPr>
        <w:pStyle w:val="Heading4"/>
      </w:pPr>
      <w:r>
        <w:t xml:space="preserve">4.3.1. Upstream Emissions</w:t>
      </w:r>
    </w:p>
    <w:p>
      <w:pPr>
        <w:numPr>
          <w:ilvl w:val="0"/>
          <w:numId w:val="1009"/>
        </w:numPr>
        <w:pStyle w:val="Compact"/>
      </w:pPr>
      <w:r>
        <w:rPr>
          <w:bCs/>
          <w:b/>
        </w:rPr>
        <w:t xml:space="preserve">Materials Acquisition &amp; Pre-processing:</w:t>
      </w:r>
    </w:p>
    <w:p>
      <w:pPr>
        <w:numPr>
          <w:ilvl w:val="1"/>
          <w:numId w:val="1010"/>
        </w:numPr>
        <w:pStyle w:val="Compact"/>
      </w:pPr>
      <w:r>
        <w:t xml:space="preserve">Total Carbon from BOM (</w:t>
      </w:r>
      <w:r>
        <w:rPr>
          <w:rStyle w:val="VerbatimChar"/>
        </w:rPr>
        <w:t xml:space="preserve">rusihonn</w:t>
      </w:r>
      <w:r>
        <w:t xml:space="preserve">): 2.925 kg CO2e per unit</w:t>
      </w:r>
    </w:p>
    <w:p>
      <w:pPr>
        <w:numPr>
          <w:ilvl w:val="1"/>
          <w:numId w:val="1010"/>
        </w:numPr>
        <w:pStyle w:val="Compact"/>
      </w:pPr>
      <w:r>
        <w:rPr>
          <w:iCs/>
          <w:i/>
        </w:rPr>
        <w:t xml:space="preserve">This incorporates the specific emission factors provided in the BOM data.</w:t>
      </w:r>
    </w:p>
    <w:p>
      <w:pPr>
        <w:numPr>
          <w:ilvl w:val="0"/>
          <w:numId w:val="1009"/>
        </w:numPr>
        <w:pStyle w:val="Compact"/>
      </w:pPr>
      <w:r>
        <w:rPr>
          <w:bCs/>
          <w:b/>
        </w:rPr>
        <w:t xml:space="preserve">Upstream Transportation:</w:t>
      </w:r>
    </w:p>
    <w:p>
      <w:pPr>
        <w:numPr>
          <w:ilvl w:val="1"/>
          <w:numId w:val="1011"/>
        </w:numPr>
        <w:pStyle w:val="Compact"/>
      </w:pPr>
      <w:r>
        <w:t xml:space="preserve">Product Weight (assumed): 0.85 kg</w:t>
      </w:r>
    </w:p>
    <w:p>
      <w:pPr>
        <w:numPr>
          <w:ilvl w:val="1"/>
          <w:numId w:val="1011"/>
        </w:numPr>
        <w:pStyle w:val="Compact"/>
      </w:pPr>
      <w:r>
        <w:t xml:space="preserve">Transport Mode (</w:t>
      </w:r>
      <w:r>
        <w:rPr>
          <w:rStyle w:val="VerbatimChar"/>
        </w:rPr>
        <w:t xml:space="preserve">Select Mode</w:t>
      </w:r>
      <w:r>
        <w:t xml:space="preserve">): Sea Freight (assumed for \'Select Mode\')</w:t>
      </w:r>
    </w:p>
    <w:p>
      <w:pPr>
        <w:numPr>
          <w:ilvl w:val="1"/>
          <w:numId w:val="1011"/>
        </w:numPr>
        <w:pStyle w:val="Compact"/>
      </w:pPr>
      <w:r>
        <w:t xml:space="preserve">Transport Distance (</w:t>
      </w:r>
      <w:r>
        <w:rPr>
          <w:rStyle w:val="VerbatimChar"/>
        </w:rPr>
        <w:t xml:space="preserve">djqikzhsfp</w:t>
      </w:r>
      <w:r>
        <w:t xml:space="preserve">): 800 km</w:t>
      </w:r>
    </w:p>
    <w:p>
      <w:pPr>
        <w:numPr>
          <w:ilvl w:val="1"/>
          <w:numId w:val="1011"/>
        </w:numPr>
        <w:pStyle w:val="Compact"/>
      </w:pPr>
      <w:r>
        <w:t xml:space="preserve">Last-Mile Delivery (</w:t>
      </w:r>
      <w:r>
        <w:rPr>
          <w:rStyle w:val="VerbatimChar"/>
        </w:rPr>
        <w:t xml:space="preserve">Delivery Type</w:t>
      </w:r>
      <w:r>
        <w:t xml:space="preserve">): Road Freight (assumed for \'Delivery Type\') for 200 km</w:t>
      </w:r>
    </w:p>
    <w:p>
      <w:pPr>
        <w:numPr>
          <w:ilvl w:val="1"/>
          <w:numId w:val="1011"/>
        </w:numPr>
        <w:pStyle w:val="Compact"/>
      </w:pPr>
      <w:r>
        <w:rPr>
          <w:bCs/>
          <w:b/>
        </w:rPr>
        <w:t xml:space="preserve">Total Upstream Transport Emissions: 0.134 kg CO2e per unit</w:t>
      </w:r>
    </w:p>
    <w:bookmarkEnd w:id="35"/>
    <w:bookmarkStart w:id="36" w:name="downstream-emissions"/>
    <w:p>
      <w:pPr>
        <w:pStyle w:val="Heading4"/>
      </w:pPr>
      <w:r>
        <w:t xml:space="preserve">4.3.2. Downstream Emissions</w:t>
      </w:r>
    </w:p>
    <w:p>
      <w:pPr>
        <w:numPr>
          <w:ilvl w:val="0"/>
          <w:numId w:val="1012"/>
        </w:numPr>
        <w:pStyle w:val="Compact"/>
      </w:pPr>
      <w:r>
        <w:rPr>
          <w:bCs/>
          <w:b/>
        </w:rPr>
        <w:t xml:space="preserve">Product Use Phase:</w:t>
      </w:r>
    </w:p>
    <w:p>
      <w:pPr>
        <w:numPr>
          <w:ilvl w:val="1"/>
          <w:numId w:val="1013"/>
        </w:numPr>
        <w:pStyle w:val="Compact"/>
      </w:pPr>
      <w:r>
        <w:t xml:space="preserve">Product Lifespan (</w:t>
      </w:r>
      <w:r>
        <w:rPr>
          <w:rStyle w:val="VerbatimChar"/>
        </w:rPr>
        <w:t xml:space="preserve">wziuiuoviq</w:t>
      </w:r>
      <w:r>
        <w:t xml:space="preserve">): 3 years</w:t>
      </w:r>
    </w:p>
    <w:p>
      <w:pPr>
        <w:numPr>
          <w:ilvl w:val="1"/>
          <w:numId w:val="1013"/>
        </w:numPr>
        <w:pStyle w:val="Compact"/>
      </w:pPr>
      <w:r>
        <w:t xml:space="preserve">Energy Consumption in Use (</w:t>
      </w:r>
      <w:r>
        <w:rPr>
          <w:rStyle w:val="VerbatimChar"/>
        </w:rPr>
        <w:t xml:space="preserve">uufrhloqti</w:t>
      </w:r>
      <w:r>
        <w:t xml:space="preserve">): 10.0 kWh/year</w:t>
      </w:r>
    </w:p>
    <w:p>
      <w:pPr>
        <w:numPr>
          <w:ilvl w:val="1"/>
          <w:numId w:val="1013"/>
        </w:numPr>
        <w:pStyle w:val="Compact"/>
      </w:pPr>
      <w:r>
        <w:t xml:space="preserve">Total Energy Consumed Over Lifespan: 30.0 kWh</w:t>
      </w:r>
    </w:p>
    <w:p>
      <w:pPr>
        <w:numPr>
          <w:ilvl w:val="1"/>
          <w:numId w:val="1013"/>
        </w:numPr>
        <w:pStyle w:val="Compact"/>
      </w:pPr>
      <w:r>
        <w:t xml:space="preserve">Assumed Electricity Emission Factor (e.g., China grid for illustrative purposes): 0.57 kg CO2e/kWh</w:t>
      </w:r>
    </w:p>
    <w:p>
      <w:pPr>
        <w:numPr>
          <w:ilvl w:val="1"/>
          <w:numId w:val="1013"/>
        </w:numPr>
        <w:pStyle w:val="Compact"/>
      </w:pPr>
      <w:r>
        <w:rPr>
          <w:bCs/>
          <w:b/>
        </w:rPr>
        <w:t xml:space="preserve">Total Use Phase Emissions: 17.100 kg CO2e per unit</w:t>
      </w:r>
    </w:p>
    <w:p>
      <w:pPr>
        <w:numPr>
          <w:ilvl w:val="0"/>
          <w:numId w:val="1012"/>
        </w:numPr>
        <w:pStyle w:val="Compact"/>
      </w:pPr>
      <w:r>
        <w:rPr>
          <w:bCs/>
          <w:b/>
        </w:rPr>
        <w:t xml:space="preserve">End-of-Life (EoL):</w:t>
      </w:r>
    </w:p>
    <w:p>
      <w:pPr>
        <w:numPr>
          <w:ilvl w:val="1"/>
          <w:numId w:val="1014"/>
        </w:numPr>
        <w:pStyle w:val="Compact"/>
      </w:pPr>
      <w:r>
        <w:t xml:space="preserve">Recyclability Percentage (</w:t>
      </w:r>
      <w:r>
        <w:rPr>
          <w:rStyle w:val="VerbatimChar"/>
        </w:rPr>
        <w:t xml:space="preserve">ngfjlohltl</w:t>
      </w:r>
      <w:r>
        <w:t xml:space="preserve">): 75%</w:t>
      </w:r>
    </w:p>
    <w:p>
      <w:pPr>
        <w:numPr>
          <w:ilvl w:val="1"/>
          <w:numId w:val="1014"/>
        </w:numPr>
        <w:pStyle w:val="Compact"/>
      </w:pPr>
      <w:r>
        <w:t xml:space="preserve">Waste to Landfill (non-recycled): 0.21 kg</w:t>
      </w:r>
    </w:p>
    <w:p>
      <w:pPr>
        <w:numPr>
          <w:ilvl w:val="1"/>
          <w:numId w:val="1014"/>
        </w:numPr>
        <w:pStyle w:val="Compact"/>
      </w:pPr>
      <w:r>
        <w:t xml:space="preserve">Recycled Materials: 0.64 kg</w:t>
      </w:r>
    </w:p>
    <w:p>
      <w:pPr>
        <w:numPr>
          <w:ilvl w:val="1"/>
          <w:numId w:val="1014"/>
        </w:numPr>
        <w:pStyle w:val="Compact"/>
      </w:pPr>
      <w:r>
        <w:t xml:space="preserve">Circular/Take-back Programs (</w:t>
      </w:r>
      <w:r>
        <w:rPr>
          <w:rStyle w:val="VerbatimChar"/>
        </w:rPr>
        <w:t xml:space="preserve">fxlthuklmy</w:t>
      </w:r>
      <w:r>
        <w:t xml:space="preserve">): This significantly enhances EoL performance by promoting reuse, remanufacturing, and high-value recycling, further reducing net EoL emissions or even leading to avoided emissions.</w:t>
      </w:r>
    </w:p>
    <w:p>
      <w:pPr>
        <w:numPr>
          <w:ilvl w:val="1"/>
          <w:numId w:val="1014"/>
        </w:numPr>
        <w:pStyle w:val="Compact"/>
      </w:pPr>
      <w:r>
        <w:rPr>
          <w:bCs/>
          <w:b/>
        </w:rPr>
        <w:t xml:space="preserve">Total End-of-Life Emissions (Net): -0.528 kg CO2e per unit</w:t>
      </w:r>
    </w:p>
    <w:bookmarkEnd w:id="36"/>
    <w:bookmarkEnd w:id="37"/>
    <w:bookmarkStart w:id="38" w:name="total-product-carbon-footprint-pcf"/>
    <w:p>
      <w:pPr>
        <w:pStyle w:val="Heading3"/>
      </w:pPr>
      <w:r>
        <w:t xml:space="preserve">4.4. Total Product Carbon Footprint (PCF)</w:t>
      </w:r>
    </w:p>
    <w:p>
      <w:pPr>
        <w:pStyle w:val="FirstParagraph"/>
      </w:pPr>
      <w:r>
        <w:t xml:space="preserve">The sum of emissions across all life cycle stages:</w:t>
      </w:r>
    </w:p>
    <w:p>
      <w:pPr>
        <w:numPr>
          <w:ilvl w:val="0"/>
          <w:numId w:val="1015"/>
        </w:numPr>
        <w:pStyle w:val="Compact"/>
      </w:pPr>
      <w:r>
        <w:t xml:space="preserve">Scope 1 Emissions: ~0.000 kg CO2e (minimal direct process emissions; mostly covered by Scope 2/3 energy &amp; materials)</w:t>
      </w:r>
    </w:p>
    <w:p>
      <w:pPr>
        <w:numPr>
          <w:ilvl w:val="0"/>
          <w:numId w:val="1015"/>
        </w:numPr>
        <w:pStyle w:val="Compact"/>
      </w:pPr>
      <w:r>
        <w:t xml:space="preserve">Scope 2 Emissions (Production Energy): 1.425 kg CO2e</w:t>
      </w:r>
    </w:p>
    <w:p>
      <w:pPr>
        <w:numPr>
          <w:ilvl w:val="0"/>
          <w:numId w:val="1015"/>
        </w:numPr>
        <w:pStyle w:val="Compact"/>
      </w:pPr>
      <w:r>
        <w:t xml:space="preserve">Scope 3 Emissions (Upstream Materials): 2.925 kg CO2e</w:t>
      </w:r>
    </w:p>
    <w:p>
      <w:pPr>
        <w:numPr>
          <w:ilvl w:val="0"/>
          <w:numId w:val="1015"/>
        </w:numPr>
        <w:pStyle w:val="Compact"/>
      </w:pPr>
      <w:r>
        <w:t xml:space="preserve">Scope 3 Emissions (Upstream Transport): 0.134 kg CO2e</w:t>
      </w:r>
    </w:p>
    <w:p>
      <w:pPr>
        <w:numPr>
          <w:ilvl w:val="0"/>
          <w:numId w:val="1015"/>
        </w:numPr>
        <w:pStyle w:val="Compact"/>
      </w:pPr>
      <w:r>
        <w:t xml:space="preserve">Scope 3 Emissions (Downstream Use Phase): 17.100 kg CO2e</w:t>
      </w:r>
    </w:p>
    <w:p>
      <w:pPr>
        <w:numPr>
          <w:ilvl w:val="0"/>
          <w:numId w:val="1015"/>
        </w:numPr>
        <w:pStyle w:val="Compact"/>
      </w:pPr>
      <w:r>
        <w:t xml:space="preserve">Scope 3 Emissions (Downstream End-of-Life): -0.528 kg CO2e</w:t>
      </w:r>
    </w:p>
    <w:p>
      <w:pPr>
        <w:numPr>
          <w:ilvl w:val="0"/>
          <w:numId w:val="1015"/>
        </w:numPr>
        <w:pStyle w:val="Compact"/>
      </w:pPr>
      <w:r>
        <w:rPr>
          <w:bCs/>
          <w:b/>
        </w:rPr>
        <w:t xml:space="preserve">Grand Total Product Carbon Footprint: 21.056 kg CO2e per functional unit</w:t>
      </w:r>
    </w:p>
    <w:p>
      <w:r>
        <w:pict>
          <v:rect style="width:0;height:1.5pt" o:hralign="center" o:hrstd="t" o:hr="t"/>
        </w:pict>
      </w:r>
    </w:p>
    <w:bookmarkEnd w:id="38"/>
    <w:bookmarkEnd w:id="39"/>
    <w:bookmarkStart w:id="43" w:name="review-reporting"/>
    <w:p>
      <w:pPr>
        <w:pStyle w:val="Heading1"/>
      </w:pPr>
      <w:r>
        <w:t xml:space="preserve">5. Review &amp; Reporting</w:t>
      </w:r>
    </w:p>
    <w:p>
      <w:pPr>
        <w:pStyle w:val="FirstParagraph"/>
      </w:pPr>
      <w:r>
        <w:t xml:space="preserve">This section summarizes the findings and highlights key emission hotspots for evnxjdeozu.</w:t>
      </w:r>
    </w:p>
    <w:bookmarkStart w:id="40" w:name="emission-hotspots"/>
    <w:p>
      <w:pPr>
        <w:pStyle w:val="Heading3"/>
      </w:pPr>
      <w:r>
        <w:t xml:space="preserve">5.1. Emission Hotspots</w:t>
      </w:r>
    </w:p>
    <w:p>
      <w:pPr>
        <w:pStyle w:val="FirstParagraph"/>
      </w:pPr>
      <w:r>
        <w:t xml:space="preserve">Based on the analysis, the primary emission hotspots for evnxjdeozu are:</w:t>
      </w:r>
    </w:p>
    <w:p>
      <w:pPr>
        <w:numPr>
          <w:ilvl w:val="0"/>
          <w:numId w:val="1016"/>
        </w:numPr>
        <w:pStyle w:val="Compact"/>
      </w:pPr>
      <w:r>
        <w:rPr>
          <w:bCs/>
          <w:b/>
        </w:rPr>
        <w:t xml:space="preserve">Product Use Phase (Scope 3 Downstream):</w:t>
      </w:r>
      <w:r>
        <w:t xml:space="preserve"> </w:t>
      </w:r>
      <w:r>
        <w:t xml:space="preserve">Constituting 81.2% of the total PCF, the energy consumed during the product\'s lifespan is a major contributor. Improving energy efficiency of the product and educating users on sustainable energy sourcing can mitigate this impact.</w:t>
      </w:r>
    </w:p>
    <w:p>
      <w:pPr>
        <w:numPr>
          <w:ilvl w:val="0"/>
          <w:numId w:val="1016"/>
        </w:numPr>
        <w:pStyle w:val="Compact"/>
      </w:pPr>
      <w:r>
        <w:rPr>
          <w:bCs/>
          <w:b/>
        </w:rPr>
        <w:t xml:space="preserve">Materials Acquisition &amp; Pre-processing (Scope 3 Upstream):</w:t>
      </w:r>
      <w:r>
        <w:t xml:space="preserve"> </w:t>
      </w:r>
      <w:r>
        <w:t xml:space="preserve">With 13.9% of the total PCF, the raw materials and components represent a significant portion of the footprint. Optimizing material selection, sourcing lower-carbon alternatives, and increasing recycled content can lead to substantial reductions.</w:t>
      </w:r>
    </w:p>
    <w:p>
      <w:pPr>
        <w:numPr>
          <w:ilvl w:val="0"/>
          <w:numId w:val="1016"/>
        </w:numPr>
        <w:pStyle w:val="Compact"/>
      </w:pPr>
      <w:r>
        <w:rPr>
          <w:bCs/>
          <w:b/>
        </w:rPr>
        <w:t xml:space="preserve">Production Energy (Scope 2):</w:t>
      </w:r>
      <w:r>
        <w:t xml:space="preserve"> </w:t>
      </w:r>
      <w:r>
        <w:t xml:space="preserve">Representing 6.8% of the total PCF, the electricity consumption during manufacturing is crucial. The current 50% renewable energy usage already contributes positively; further increasing this percentage or investing in on-site renewables will further reduce this footprint.</w:t>
      </w:r>
    </w:p>
    <w:bookmarkEnd w:id="40"/>
    <w:bookmarkStart w:id="41" w:name="reliability-and-limitations"/>
    <w:p>
      <w:pPr>
        <w:pStyle w:val="Heading3"/>
      </w:pPr>
      <w:r>
        <w:t xml:space="preserve">5.2. Reliability and Limitations</w:t>
      </w:r>
    </w:p>
    <w:p>
      <w:pPr>
        <w:pStyle w:val="FirstParagraph"/>
      </w:pPr>
      <w:r>
        <w:t xml:space="preserve">This report provides a high-level, detailed assessment based on the provided parameters. The accuracy of the calculated footprint is directly dependent on the precision and completeness of the input data.</w:t>
      </w:r>
    </w:p>
    <w:p>
      <w:pPr>
        <w:numPr>
          <w:ilvl w:val="0"/>
          <w:numId w:val="1017"/>
        </w:numPr>
        <w:pStyle w:val="Compact"/>
      </w:pPr>
      <w:r>
        <w:rPr>
          <w:bCs/>
          <w:b/>
        </w:rPr>
        <w:t xml:space="preserve">Generic Parameters:</w:t>
      </w:r>
      <w:r>
        <w:t xml:space="preserve"> </w:t>
      </w:r>
      <w:r>
        <w:t xml:space="preserve">For parameters supplied as generic strings (e.g., `djqikzhsfp`, `Select Mode`), illustrative numerical assumptions were made for calculation. Replacing these with specific, primary data would enhance accuracy.</w:t>
      </w:r>
    </w:p>
    <w:p>
      <w:pPr>
        <w:numPr>
          <w:ilvl w:val="0"/>
          <w:numId w:val="1017"/>
        </w:numPr>
        <w:pStyle w:val="Compact"/>
      </w:pPr>
      <w:r>
        <w:rPr>
          <w:bCs/>
          <w:b/>
        </w:rPr>
        <w:t xml:space="preserve">Emission Factors:</w:t>
      </w:r>
      <w:r>
        <w:t xml:space="preserve"> </w:t>
      </w:r>
      <w:r>
        <w:t xml:space="preserve">While industry-standard factors (akin to Ecoinvent/DEFRA) were mentioned, specific database lookups were not performed for all inputs beyond the explicit BOM data.</w:t>
      </w:r>
    </w:p>
    <w:p>
      <w:pPr>
        <w:numPr>
          <w:ilvl w:val="0"/>
          <w:numId w:val="1017"/>
        </w:numPr>
        <w:pStyle w:val="Compact"/>
      </w:pPr>
      <w:r>
        <w:rPr>
          <w:bCs/>
          <w:b/>
        </w:rPr>
        <w:t xml:space="preserve">Scope 3 Coverage:</w:t>
      </w:r>
      <w:r>
        <w:t xml:space="preserve"> </w:t>
      </w:r>
      <w:r>
        <w:t xml:space="preserve">While efforts were made to cover all significant Scope 3 categories, the detailed quantification relies on the completeness of provided primary data for each stage.</w:t>
      </w:r>
    </w:p>
    <w:p>
      <w:pPr>
        <w:numPr>
          <w:ilvl w:val="0"/>
          <w:numId w:val="1017"/>
        </w:numPr>
        <w:pStyle w:val="Compact"/>
      </w:pPr>
      <w:r>
        <w:rPr>
          <w:bCs/>
          <w:b/>
        </w:rPr>
        <w:t xml:space="preserve">LSR Standard:</w:t>
      </w:r>
      <w:r>
        <w:t xml:space="preserve"> </w:t>
      </w:r>
      <w:r>
        <w:t xml:space="preserve">The 2026 LSR Standard was acknowledged, but detailed land use change data for specific material origins was not available for granular calculation in this report. Its principles of including land-sector emissions and removals are conceptually applied.</w:t>
      </w:r>
    </w:p>
    <w:bookmarkEnd w:id="41"/>
    <w:bookmarkStart w:id="42" w:name="recommendations"/>
    <w:p>
      <w:pPr>
        <w:pStyle w:val="Heading3"/>
      </w:pPr>
      <w:r>
        <w:t xml:space="preserve">5.3. Recommendations</w:t>
      </w:r>
    </w:p>
    <w:p>
      <w:pPr>
        <w:numPr>
          <w:ilvl w:val="0"/>
          <w:numId w:val="1018"/>
        </w:numPr>
        <w:pStyle w:val="Compact"/>
      </w:pPr>
      <w:r>
        <w:rPr>
          <w:bCs/>
          <w:b/>
        </w:rPr>
        <w:t xml:space="preserve">Material Optimization:</w:t>
      </w:r>
      <w:r>
        <w:t xml:space="preserve"> </w:t>
      </w:r>
      <w:r>
        <w:t xml:space="preserve">Explore lightweighting, use of certified low-carbon materials, and increasing the recycled content of components identified in the BOM.</w:t>
      </w:r>
    </w:p>
    <w:p>
      <w:pPr>
        <w:numPr>
          <w:ilvl w:val="0"/>
          <w:numId w:val="1018"/>
        </w:numPr>
        <w:pStyle w:val="Compact"/>
      </w:pPr>
      <w:r>
        <w:rPr>
          <w:bCs/>
          <w:b/>
        </w:rPr>
        <w:t xml:space="preserve">Energy Efficiency:</w:t>
      </w:r>
      <w:r>
        <w:t xml:space="preserve"> </w:t>
      </w:r>
      <w:r>
        <w:t xml:space="preserve">Continue to increase renewable energy procurement or generation at production facilities. Explore opportunities for energy-efficient production processes.</w:t>
      </w:r>
    </w:p>
    <w:p>
      <w:pPr>
        <w:numPr>
          <w:ilvl w:val="0"/>
          <w:numId w:val="1018"/>
        </w:numPr>
        <w:pStyle w:val="Compact"/>
      </w:pPr>
      <w:r>
        <w:rPr>
          <w:bCs/>
          <w:b/>
        </w:rPr>
        <w:t xml:space="preserve">Use Phase Design:</w:t>
      </w:r>
      <w:r>
        <w:t xml:space="preserve"> </w:t>
      </w:r>
      <w:r>
        <w:t xml:space="preserve">Design products for greater energy efficiency, longer lifespans (durability), and easier repairability to reduce replacement rates and operational energy.</w:t>
      </w:r>
    </w:p>
    <w:p>
      <w:pPr>
        <w:numPr>
          <w:ilvl w:val="0"/>
          <w:numId w:val="1018"/>
        </w:numPr>
        <w:pStyle w:val="Compact"/>
      </w:pPr>
      <w:r>
        <w:rPr>
          <w:bCs/>
          <w:b/>
        </w:rPr>
        <w:t xml:space="preserve">Circular Economy Integration:</w:t>
      </w:r>
      <w:r>
        <w:t xml:space="preserve"> </w:t>
      </w:r>
      <w:r>
        <w:t xml:space="preserve">Further enhance and promote circular programs (</w:t>
      </w:r>
      <w:r>
        <w:rPr>
          <w:rStyle w:val="VerbatimChar"/>
        </w:rPr>
        <w:t xml:space="preserve">fxlthuklmy</w:t>
      </w:r>
      <w:r>
        <w:t xml:space="preserve">) to maximize product and material value retention at end-of-life, exploring advanced recycling technologies and closed-loop systems.</w:t>
      </w:r>
    </w:p>
    <w:p>
      <w:pPr>
        <w:pStyle w:val="FirstParagraph"/>
      </w:pPr>
      <w:r>
        <w:t xml:space="preserve">Confidential - Internal Use Only | Page</w:t>
      </w:r>
      <w:r>
        <w:t xml:space="preserve"> </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for evnxjdeozu - ftjreidtqo</dc:title>
  <dc:creator/>
  <dc:description>Detailed Product Carbon Footprint (PCF) analysis report for evnxjdeozu by ftjreidtqo, adhering to GHG Protocol and 2026 LSR update.</dc:description>
  <dc:language>en</dc:language>
  <cp:keywords/>
  <dcterms:created xsi:type="dcterms:W3CDTF">2026-05-30T23:13:34Z</dcterms:created>
  <dcterms:modified xsi:type="dcterms:W3CDTF">2026-05-30T23:13:34Z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