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towpuofxlq</w:t>
      </w:r>
    </w:p>
    <w:p>
      <w:pPr>
        <w:pStyle w:val="FirstParagraph"/>
      </w:pPr>
      <w:r>
        <w:rPr>
          <w:bCs/>
          <w:b/>
        </w:rPr>
        <w:t xml:space="preserve">carboncalcpcf.com</w:t>
      </w:r>
    </w:p>
    <w:bookmarkStart w:id="20" w:name="product-carbon-footprint-analysis"/>
    <w:p>
      <w:pPr>
        <w:pStyle w:val="Heading1"/>
      </w:pPr>
      <w:r>
        <w:t xml:space="preserve">Product Carbon Footprint Analysis</w:t>
      </w:r>
    </w:p>
    <w:p>
      <w:pPr>
        <w:pStyle w:val="FirstParagraph"/>
      </w:pPr>
      <w:r>
        <w:rPr>
          <w:bCs/>
          <w:b/>
        </w:rPr>
        <w:t xml:space="preserve">Product: towpuofxlq</w:t>
      </w:r>
    </w:p>
    <w:p>
      <w:pPr>
        <w:pStyle w:val="BodyText"/>
      </w:pPr>
      <w:r>
        <w:rPr>
          <w:bCs/>
          <w:b/>
        </w:rPr>
        <w:t xml:space="preserve">Company: tjevzmdmow</w:t>
      </w:r>
    </w:p>
    <w:p>
      <w:pPr>
        <w:pStyle w:val="BodyText"/>
      </w:pPr>
      <w:r>
        <w:rPr>
          <w:bCs/>
          <w:b/>
        </w:rPr>
        <w:t xml:space="preserve">Accounting Standard: GHG Protocol</w:t>
      </w:r>
    </w:p>
    <w:p>
      <w:pPr>
        <w:pStyle w:val="BodyText"/>
      </w:pPr>
      <w:r>
        <w:rPr>
          <w:bCs/>
          <w:b/>
        </w:rPr>
        <w:t xml:space="preserve">Senior Sustainability Consultant: yrkiizhyjr</w:t>
      </w:r>
    </w:p>
    <w:p>
      <w:pPr>
        <w:pStyle w:val="BodyText"/>
      </w:pPr>
      <w:r>
        <w:t xml:space="preserve">Disclaimer: This report is generated based on available data and industry standards. While efforts have been made to ensure accuracy, the actual environmental impact may vary based on real-world conditions and data availability. This analysis uses illustrative data where specific inputs were placeholder values in the request.</w:t>
      </w:r>
    </w:p>
    <w:bookmarkEnd w:id="20"/>
    <w:bookmarkStart w:id="21" w:name="Xe5ea8e5c93ab73ceff2b3f2fbc3774670704327"/>
    <w:p>
      <w:pPr>
        <w:pStyle w:val="Heading1"/>
      </w:pPr>
      <w:r>
        <w:t xml:space="preserve">Product Carbon Footprint Analysis: towpuofxlq</w:t>
      </w:r>
    </w:p>
    <w:p>
      <w:pPr>
        <w:pStyle w:val="FirstParagraph"/>
      </w:pPr>
      <w:r>
        <w:t xml:space="preserve">Generated Date: May 28, 2026</w:t>
      </w:r>
    </w:p>
    <w:bookmarkEnd w:id="21"/>
    <w:bookmarkStart w:id="22" w:name="executive-summary"/>
    <w:p>
      <w:pPr>
        <w:pStyle w:val="Heading2"/>
      </w:pPr>
      <w:r>
        <w:t xml:space="preserve">Executive Summary</w:t>
      </w:r>
    </w:p>
    <w:p>
      <w:pPr>
        <w:pStyle w:val="FirstParagraph"/>
      </w:pPr>
      <w:r>
        <w:t xml:space="preserve">This report provides a high-detail Product Carbon Footprint (PCF) analysis for</w:t>
      </w:r>
      <w:r>
        <w:t xml:space="preserve"> </w:t>
      </w:r>
      <w:r>
        <w:rPr>
          <w:bCs/>
          <w:b/>
        </w:rPr>
        <w:t xml:space="preserve">towpuofxlq</w:t>
      </w:r>
      <w:r>
        <w:t xml:space="preserve">, manufactured by</w:t>
      </w:r>
      <w:r>
        <w:t xml:space="preserve"> </w:t>
      </w:r>
      <w:r>
        <w:rPr>
          <w:bCs/>
          <w:b/>
        </w:rPr>
        <w:t xml:space="preserve">tjevzmdmow</w:t>
      </w:r>
      <w:r>
        <w:t xml:space="preserve">. Conducted by Senior Sustainability Consultant</w:t>
      </w:r>
      <w:r>
        <w:t xml:space="preserve"> </w:t>
      </w:r>
      <w:r>
        <w:rPr>
          <w:bCs/>
          <w:b/>
        </w:rPr>
        <w:t xml:space="preserve">yrkiizhyjr</w:t>
      </w:r>
      <w:r>
        <w:t xml:space="preserve">, this assessment adheres strictly to the GHG Protocol, including the 2026 Land Sector and Removals (LSR) Standard and stringent Scope 3 coverage requirements. The analysis covers the full lifecycle from raw material acquisition (cradle) to the factory gate (system boundary), with an extended view of the use and end-of-life phases, quantifying greenhouse gas emissions (GHG) in terms of CO2 equivalents (CO2e). Key hotspots are identified, and recommendations for emission reduction are provided to support</w:t>
      </w:r>
      <w:r>
        <w:t xml:space="preserve"> </w:t>
      </w:r>
      <w:r>
        <w:rPr>
          <w:bCs/>
          <w:b/>
        </w:rPr>
        <w:t xml:space="preserve">tjevzmdmow</w:t>
      </w:r>
      <w:r>
        <w:t xml:space="preserve">\'s sustainability objectives.</w:t>
      </w:r>
    </w:p>
    <w:p>
      <w:r>
        <w:pict>
          <v:rect style="width:0;height:1.5pt" o:hralign="center" o:hrstd="t" o:hr="t"/>
        </w:pict>
      </w:r>
    </w:p>
    <w:bookmarkEnd w:id="22"/>
    <w:bookmarkStart w:id="27" w:name="define-scope"/>
    <w:p>
      <w:pPr>
        <w:pStyle w:val="Heading2"/>
      </w:pPr>
      <w:r>
        <w:t xml:space="preserve">1. Define Scope</w:t>
      </w:r>
    </w:p>
    <w:bookmarkStart w:id="23" w:name="functional-unit"/>
    <w:p>
      <w:pPr>
        <w:pStyle w:val="Heading3"/>
      </w:pPr>
      <w:r>
        <w:t xml:space="preserve">Functional Unit</w:t>
      </w:r>
    </w:p>
    <w:p>
      <w:pPr>
        <w:pStyle w:val="FirstParagraph"/>
      </w:pPr>
      <w:r>
        <w:t xml:space="preserve">The functional unit for this PCF analysis is defined as</w:t>
      </w:r>
      <w:r>
        <w:t xml:space="preserve"> </w:t>
      </w:r>
      <w:r>
        <w:rPr>
          <w:bCs/>
          <w:b/>
        </w:rPr>
        <w:t xml:space="preserve">1.0 unit</w:t>
      </w:r>
      <w:r>
        <w:t xml:space="preserve"> </w:t>
      </w:r>
      <w:r>
        <w:t xml:space="preserve">of</w:t>
      </w:r>
      <w:r>
        <w:t xml:space="preserve"> </w:t>
      </w:r>
      <w:r>
        <w:rPr>
          <w:bCs/>
          <w:b/>
        </w:rPr>
        <w:t xml:space="preserve">towpuofxlq</w:t>
      </w:r>
      <w:r>
        <w:t xml:space="preserve">, providing its intended function over its entire lifespan.</w:t>
      </w:r>
    </w:p>
    <w:bookmarkEnd w:id="23"/>
    <w:bookmarkStart w:id="24" w:name="system-boundary"/>
    <w:p>
      <w:pPr>
        <w:pStyle w:val="Heading3"/>
      </w:pPr>
      <w:r>
        <w:t xml:space="preserve">System Boundary</w:t>
      </w:r>
    </w:p>
    <w:p>
      <w:pPr>
        <w:pStyle w:val="FirstParagraph"/>
      </w:pPr>
      <w:r>
        <w:t xml:space="preserve">The system boundary for this assessment is set as</w:t>
      </w:r>
      <w:r>
        <w:t xml:space="preserve"> </w:t>
      </w:r>
      <w:r>
        <w:rPr>
          <w:bCs/>
          <w:b/>
        </w:rPr>
        <w:t xml:space="preserve">factory_gate</w:t>
      </w:r>
      <w:r>
        <w:t xml:space="preserve"> </w:t>
      </w:r>
      <w:r>
        <w:t xml:space="preserve">(cradle-to-gate). This includes all processes from raw material extraction, through manufacturing, to the point where the finished product leaves the production facility. Extended analysis for the use phase and end-of-life (EoL) is also included for a more comprehensive understanding of the product\'s total impact.</w:t>
      </w:r>
    </w:p>
    <w:bookmarkEnd w:id="24"/>
    <w:bookmarkStart w:id="25" w:name="geographic-scope"/>
    <w:p>
      <w:pPr>
        <w:pStyle w:val="Heading3"/>
      </w:pPr>
      <w:r>
        <w:t xml:space="preserve">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bookmarkEnd w:id="25"/>
    <w:bookmarkStart w:id="26" w:name="allocation"/>
    <w:p>
      <w:pPr>
        <w:pStyle w:val="Heading3"/>
      </w:pPr>
      <w:r>
        <w:t xml:space="preserve">Allocation</w:t>
      </w:r>
    </w:p>
    <w:p>
      <w:pPr>
        <w:pStyle w:val="FirstParagraph"/>
      </w:pPr>
      <w:r>
        <w:t xml:space="preserve">Emissions are allocated based on mass and economic value where co-products or by-products occur, following GHG Protocol guidelines. For recycling and circular economy aspects, the "recycled content" approach is primarily used, while considering "end-of-life recycling" benefits at the product\'s end-of-life.</w:t>
      </w:r>
    </w:p>
    <w:p>
      <w:r>
        <w:pict>
          <v:rect style="width:0;height:1.5pt" o:hralign="center" o:hrstd="t" o:hr="t"/>
        </w:pict>
      </w:r>
    </w:p>
    <w:bookmarkEnd w:id="26"/>
    <w:bookmarkEnd w:id="27"/>
    <w:bookmarkStart w:id="33" w:name="map-lifecycle-lci-inventory-stages"/>
    <w:p>
      <w:pPr>
        <w:pStyle w:val="Heading2"/>
      </w:pPr>
      <w:r>
        <w:t xml:space="preserve">2. Map Lifecycle (LCI Inventory Stages)</w:t>
      </w:r>
    </w:p>
    <w:p>
      <w:pPr>
        <w:pStyle w:val="FirstParagraph"/>
      </w:pPr>
      <w:r>
        <w:t xml:space="preserve">The lifecycle of</w:t>
      </w:r>
      <w:r>
        <w:t xml:space="preserve"> </w:t>
      </w:r>
      <w:r>
        <w:rPr>
          <w:bCs/>
          <w:b/>
        </w:rPr>
        <w:t xml:space="preserve">towpuofxlq</w:t>
      </w:r>
      <w:r>
        <w:t xml:space="preserve"> </w:t>
      </w:r>
      <w:r>
        <w:t xml:space="preserve">is mapped across several stages, identifying all relevant inputs and outputs. This forms the basis for the Life Cycle Inventory (LCI).</w:t>
      </w:r>
    </w:p>
    <w:bookmarkStart w:id="28" w:name="raw-material-acquisition-pre-processing"/>
    <w:p>
      <w:pPr>
        <w:pStyle w:val="Heading3"/>
      </w:pPr>
      <w:r>
        <w:t xml:space="preserve">Raw Material Acquisition &amp; Pre-processing</w:t>
      </w:r>
    </w:p>
    <w:p>
      <w:pPr>
        <w:pStyle w:val="FirstParagraph"/>
      </w:pPr>
      <w:r>
        <w:t xml:space="preserve">This stage includes the extraction, production, and initial processing of all raw materials required for</w:t>
      </w:r>
      <w:r>
        <w:t xml:space="preserve"> </w:t>
      </w:r>
      <w:r>
        <w:rPr>
          <w:bCs/>
          <w:b/>
        </w:rPr>
        <w:t xml:space="preserve">towpuofxlq</w:t>
      </w:r>
      <w:r>
        <w:t xml:space="preserve">. The Detailed Bill of Materials (BOM) for</w:t>
      </w:r>
      <w:r>
        <w:t xml:space="preserve"> </w:t>
      </w:r>
      <w:r>
        <w:rPr>
          <w:bCs/>
          <w:b/>
        </w:rPr>
        <w:t xml:space="preserve">lyedkfil</w:t>
      </w:r>
      <w:r>
        <w:t xml:space="preserve"> </w:t>
      </w:r>
      <w:r>
        <w:t xml:space="preserve">is critical here. Using illustrative data for `lyedkfil` (as the specific data string was not provided):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3</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8.0</w:t>
            </w:r>
          </w:p>
        </w:tc>
        <w:tc>
          <w:tcPr/>
          <w:p>
            <w:pPr>
              <w:pStyle w:val="Compact"/>
              <w:jc w:val="left"/>
            </w:pPr>
            <w:r>
              <w:t xml:space="preserve">0.16</w:t>
            </w:r>
          </w:p>
        </w:tc>
      </w:tr>
      <w:tr>
        <w:tc>
          <w:tcPr/>
          <w:p>
            <w:pPr>
              <w:pStyle w:val="Compact"/>
              <w:jc w:val="left"/>
            </w:pPr>
            <w:r>
              <w:t xml:space="preserve">4</w:t>
            </w:r>
          </w:p>
        </w:tc>
        <w:tc>
          <w:tcPr/>
          <w:p>
            <w:pPr>
              <w:pStyle w:val="Compact"/>
              <w:jc w:val="left"/>
            </w:pPr>
            <w:r>
              <w:t xml:space="preserve">Lithium Battery</w:t>
            </w:r>
          </w:p>
        </w:tc>
        <w:tc>
          <w:tcPr/>
          <w:p>
            <w:pPr>
              <w:pStyle w:val="Compact"/>
              <w:jc w:val="left"/>
            </w:pPr>
            <w:r>
              <w:t xml:space="preserve">Chemicals</w:t>
            </w:r>
          </w:p>
        </w:tc>
        <w:tc>
          <w:tcPr/>
          <w:p>
            <w:pPr>
              <w:pStyle w:val="Compact"/>
              <w:jc w:val="left"/>
            </w:pPr>
            <w:r>
              <w:t xml:space="preserve">Production</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1.00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Processing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1.0</w:t>
            </w:r>
          </w:p>
        </w:tc>
        <w:tc>
          <w:tcPr/>
          <w:p>
            <w:pPr>
              <w:pStyle w:val="Compact"/>
              <w:jc w:val="left"/>
            </w:pPr>
            <w:r>
              <w:t xml:space="preserve">0.05</w:t>
            </w:r>
          </w:p>
        </w:tc>
      </w:tr>
    </w:tbl>
    <w:p>
      <w:pPr>
        <w:pStyle w:val="BodyText"/>
      </w:pPr>
      <w:r>
        <w:rPr>
          <w:iCs/>
          <w:i/>
        </w:rPr>
        <w:t xml:space="preserve">(Note: The BOM data above is illustrative, as the specific string for \'lyedkfil\' was a placeholder. Actual calculations would use the exact data provided.)</w:t>
      </w:r>
    </w:p>
    <w:bookmarkEnd w:id="28"/>
    <w:bookmarkStart w:id="29" w:name="manufacturing-phase"/>
    <w:p>
      <w:pPr>
        <w:pStyle w:val="Heading3"/>
      </w:pPr>
      <w:r>
        <w:t xml:space="preserve">Manufacturing Phase</w:t>
      </w:r>
    </w:p>
    <w:p>
      <w:pPr>
        <w:pStyle w:val="FirstParagraph"/>
      </w:pPr>
      <w:r>
        <w:t xml:space="preserve">This includes all energy consumption and processes occurring at the production facility in China.</w:t>
      </w:r>
    </w:p>
    <w:p>
      <w:pPr>
        <w:numPr>
          <w:ilvl w:val="0"/>
          <w:numId w:val="1002"/>
        </w:numPr>
        <w:pStyle w:val="Compact"/>
      </w:pPr>
      <w:r>
        <w:rPr>
          <w:bCs/>
          <w:b/>
        </w:rPr>
        <w:t xml:space="preserve">Energy Intensity (kWh/unit):</w:t>
      </w:r>
      <w:r>
        <w:t xml:space="preserve"> </w:t>
      </w:r>
      <w:r>
        <w:t xml:space="preserve">xzwfldsxew (assumed 5 kWh/unit for calculations)</w:t>
      </w:r>
    </w:p>
    <w:p>
      <w:pPr>
        <w:numPr>
          <w:ilvl w:val="0"/>
          <w:numId w:val="1002"/>
        </w:numPr>
        <w:pStyle w:val="Compact"/>
      </w:pPr>
      <w:r>
        <w:rPr>
          <w:bCs/>
          <w:b/>
        </w:rPr>
        <w:t xml:space="preserve">Renewable Energy Usage:</w:t>
      </w:r>
      <w:r>
        <w:t xml:space="preserve"> </w:t>
      </w:r>
      <w:r>
        <w:t xml:space="preserve">tjzjxdusly (assumed 75% for calculations)</w:t>
      </w:r>
    </w:p>
    <w:bookmarkEnd w:id="29"/>
    <w:bookmarkStart w:id="30" w:name="X53a513e635615ae616bb8ab76512283816bcb75"/>
    <w:p>
      <w:pPr>
        <w:pStyle w:val="Heading3"/>
      </w:pPr>
      <w:r>
        <w:t xml:space="preserve">Transportation (Inbound Logistics &amp; Distribution)</w:t>
      </w:r>
    </w:p>
    <w:p>
      <w:pPr>
        <w:pStyle w:val="FirstParagraph"/>
      </w:pPr>
      <w:r>
        <w:t xml:space="preserve">Transportation accounts for the movement of raw materials from Europe to China (inbound) and the distribution of the finished product. Using illustrative data for `rejogmjffw`, `Select Mode`, and `Delivery Type`:</w:t>
      </w:r>
    </w:p>
    <w:p>
      <w:pPr>
        <w:numPr>
          <w:ilvl w:val="0"/>
          <w:numId w:val="1003"/>
        </w:numPr>
        <w:pStyle w:val="Compact"/>
      </w:pPr>
      <w:r>
        <w:rPr>
          <w:bCs/>
          <w:b/>
        </w:rPr>
        <w:t xml:space="preserve">Transport Mode (main):</w:t>
      </w:r>
      <w:r>
        <w:t xml:space="preserve"> </w:t>
      </w:r>
      <w:r>
        <w:t xml:space="preserve">Select Mode (assumed Ocean Freight for intercontinental, Road Freight for regional)</w:t>
      </w:r>
    </w:p>
    <w:p>
      <w:pPr>
        <w:numPr>
          <w:ilvl w:val="0"/>
          <w:numId w:val="1003"/>
        </w:numPr>
        <w:pStyle w:val="Compact"/>
      </w:pPr>
      <w:r>
        <w:rPr>
          <w:bCs/>
          <w:b/>
        </w:rPr>
        <w:t xml:space="preserve">Transport Distance (rejogmjffw):</w:t>
      </w:r>
      <w:r>
        <w:t xml:space="preserve"> </w:t>
      </w:r>
      <w:r>
        <w:t xml:space="preserve">Assumed 2000 km for average supply chain routes (Europe to China).</w:t>
      </w:r>
    </w:p>
    <w:p>
      <w:pPr>
        <w:numPr>
          <w:ilvl w:val="0"/>
          <w:numId w:val="1003"/>
        </w:numPr>
        <w:pStyle w:val="Compact"/>
      </w:pPr>
      <w:r>
        <w:rPr>
          <w:bCs/>
          <w:b/>
        </w:rPr>
        <w:t xml:space="preserve">Last-Mile Delivery Channel:</w:t>
      </w:r>
      <w:r>
        <w:t xml:space="preserve"> </w:t>
      </w:r>
      <w:r>
        <w:t xml:space="preserve">Delivery Type (assumed Commercial Van for last mile).</w:t>
      </w:r>
    </w:p>
    <w:bookmarkEnd w:id="30"/>
    <w:bookmarkStart w:id="31" w:name="use-phase"/>
    <w:p>
      <w:pPr>
        <w:pStyle w:val="Heading3"/>
      </w:pPr>
      <w:r>
        <w:t xml:space="preserve">Use Phase</w:t>
      </w:r>
    </w:p>
    <w:p>
      <w:pPr>
        <w:pStyle w:val="FirstParagraph"/>
      </w:pPr>
      <w:r>
        <w:t xml:space="preserve">This phase accounts for the energy consumed by the product during its operational lifespan.</w:t>
      </w:r>
    </w:p>
    <w:p>
      <w:pPr>
        <w:numPr>
          <w:ilvl w:val="0"/>
          <w:numId w:val="1004"/>
        </w:numPr>
        <w:pStyle w:val="Compact"/>
      </w:pPr>
      <w:r>
        <w:rPr>
          <w:bCs/>
          <w:b/>
        </w:rPr>
        <w:t xml:space="preserve">Product Lifespan:</w:t>
      </w:r>
      <w:r>
        <w:t xml:space="preserve"> </w:t>
      </w:r>
      <w:r>
        <w:t xml:space="preserve">vozdpjyjru (assumed 5 years)</w:t>
      </w:r>
    </w:p>
    <w:p>
      <w:pPr>
        <w:numPr>
          <w:ilvl w:val="0"/>
          <w:numId w:val="1004"/>
        </w:numPr>
        <w:pStyle w:val="Compact"/>
      </w:pPr>
      <w:r>
        <w:rPr>
          <w:bCs/>
          <w:b/>
        </w:rPr>
        <w:t xml:space="preserve">Energy Consumption in Use:</w:t>
      </w:r>
      <w:r>
        <w:t xml:space="preserve"> </w:t>
      </w:r>
      <w:r>
        <w:t xml:space="preserve">lhzjdjhgol (assumed 10 kWh/year)</w:t>
      </w:r>
    </w:p>
    <w:bookmarkEnd w:id="31"/>
    <w:bookmarkStart w:id="32" w:name="end-of-life-eol"/>
    <w:p>
      <w:pPr>
        <w:pStyle w:val="Heading3"/>
      </w:pPr>
      <w:r>
        <w:t xml:space="preserve">End-of-Life (EoL)</w:t>
      </w:r>
    </w:p>
    <w:p>
      <w:pPr>
        <w:pStyle w:val="FirstParagraph"/>
      </w:pPr>
      <w:r>
        <w:t xml:space="preserve">The EoL phase addresses the disposal, recycling, or recovery of the product and its components.</w:t>
      </w:r>
    </w:p>
    <w:p>
      <w:pPr>
        <w:numPr>
          <w:ilvl w:val="0"/>
          <w:numId w:val="1005"/>
        </w:numPr>
        <w:pStyle w:val="Compact"/>
      </w:pPr>
      <w:r>
        <w:rPr>
          <w:bCs/>
          <w:b/>
        </w:rPr>
        <w:t xml:space="preserve">Recyclability Percentage:</w:t>
      </w:r>
      <w:r>
        <w:t xml:space="preserve"> </w:t>
      </w:r>
      <w:r>
        <w:t xml:space="preserve">dnoqzgpzln (assumed 80%)</w:t>
      </w:r>
    </w:p>
    <w:p>
      <w:pPr>
        <w:numPr>
          <w:ilvl w:val="0"/>
          <w:numId w:val="1005"/>
        </w:numPr>
        <w:pStyle w:val="Compact"/>
      </w:pPr>
      <w:r>
        <w:rPr>
          <w:bCs/>
          <w:b/>
        </w:rPr>
        <w:t xml:space="preserve">Circular/Take-back Programs:</w:t>
      </w:r>
      <w:r>
        <w:t xml:space="preserve"> </w:t>
      </w:r>
      <w:r>
        <w:t xml:space="preserve">yrvfzprppj (assumed Yes, established program)</w:t>
      </w:r>
    </w:p>
    <w:p>
      <w:r>
        <w:pict>
          <v:rect style="width:0;height:1.5pt" o:hralign="center" o:hrstd="t" o:hr="t"/>
        </w:pict>
      </w:r>
    </w:p>
    <w:bookmarkEnd w:id="32"/>
    <w:bookmarkEnd w:id="33"/>
    <w:bookmarkStart w:id="36" w:name="collect-data"/>
    <w:p>
      <w:pPr>
        <w:pStyle w:val="Heading2"/>
      </w:pPr>
      <w:r>
        <w:t xml:space="preserve">3. Collect Data</w:t>
      </w:r>
    </w:p>
    <w:p>
      <w:pPr>
        <w:pStyle w:val="FirstParagraph"/>
      </w:pPr>
      <w:r>
        <w:t xml:space="preserve">Data collection involved gathering primary data from</w:t>
      </w:r>
      <w:r>
        <w:t xml:space="preserve"> </w:t>
      </w:r>
      <w:r>
        <w:rPr>
          <w:bCs/>
          <w:b/>
        </w:rPr>
        <w:t xml:space="preserve">tjevzmdmow</w:t>
      </w:r>
      <w:r>
        <w:t xml:space="preserve"> </w:t>
      </w:r>
      <w:r>
        <w:t xml:space="preserve">(where provided) and supplementing with secondary data from reputable databases (e.g., Ecoinvent, DEFRA) for generic processes and emission factors. Due to the placeholder nature of some input parameters, illustrative values consistent with industry standards have been used for calculation demonstration.</w:t>
      </w:r>
    </w:p>
    <w:bookmarkStart w:id="34" w:name="primary-data-points"/>
    <w:p>
      <w:pPr>
        <w:pStyle w:val="Heading3"/>
      </w:pPr>
      <w:r>
        <w:t xml:space="preserve">Primary Data Points</w:t>
      </w:r>
    </w:p>
    <w:p>
      <w:pPr>
        <w:numPr>
          <w:ilvl w:val="0"/>
          <w:numId w:val="1006"/>
        </w:numPr>
        <w:pStyle w:val="Compact"/>
      </w:pPr>
      <w:r>
        <w:rPr>
          <w:bCs/>
          <w:b/>
        </w:rPr>
        <w:t xml:space="preserve">Detailed Bill of Materials (BOM):</w:t>
      </w:r>
      <w:r>
        <w:t xml:space="preserve"> </w:t>
      </w:r>
      <w:r>
        <w:t xml:space="preserve">lyedkfil (parsed as illustrative data above). Each item includes ID, Description, Category, Process, Qty, Unit, Emission Factor, and Total Carbon.</w:t>
      </w:r>
    </w:p>
    <w:p>
      <w:pPr>
        <w:numPr>
          <w:ilvl w:val="0"/>
          <w:numId w:val="1006"/>
        </w:numPr>
        <w:pStyle w:val="Compact"/>
      </w:pPr>
      <w:r>
        <w:rPr>
          <w:bCs/>
          <w:b/>
        </w:rPr>
        <w:t xml:space="preserve">Production Energy Consumption:</w:t>
      </w:r>
      <w:r>
        <w:t xml:space="preserve"> </w:t>
      </w:r>
      <w:r>
        <w:t xml:space="preserve">xzwfldsxew (5 kWh/unit assumed).</w:t>
      </w:r>
    </w:p>
    <w:p>
      <w:pPr>
        <w:numPr>
          <w:ilvl w:val="0"/>
          <w:numId w:val="1006"/>
        </w:numPr>
        <w:pStyle w:val="Compact"/>
      </w:pPr>
      <w:r>
        <w:rPr>
          <w:bCs/>
          <w:b/>
        </w:rPr>
        <w:t xml:space="preserve">Renewable Energy Share:</w:t>
      </w:r>
      <w:r>
        <w:t xml:space="preserve"> </w:t>
      </w:r>
      <w:r>
        <w:t xml:space="preserve">tjzjxdusly (75% assumed).</w:t>
      </w:r>
    </w:p>
    <w:p>
      <w:pPr>
        <w:numPr>
          <w:ilvl w:val="0"/>
          <w:numId w:val="1006"/>
        </w:numPr>
        <w:pStyle w:val="Compact"/>
      </w:pPr>
      <w:r>
        <w:rPr>
          <w:bCs/>
          <w:b/>
        </w:rPr>
        <w:t xml:space="preserve">Product Lifespan:</w:t>
      </w:r>
      <w:r>
        <w:t xml:space="preserve"> </w:t>
      </w:r>
      <w:r>
        <w:t xml:space="preserve">vozdpjyjru (5 years assumed).</w:t>
      </w:r>
    </w:p>
    <w:p>
      <w:pPr>
        <w:numPr>
          <w:ilvl w:val="0"/>
          <w:numId w:val="1006"/>
        </w:numPr>
        <w:pStyle w:val="Compact"/>
      </w:pPr>
      <w:r>
        <w:rPr>
          <w:bCs/>
          <w:b/>
        </w:rPr>
        <w:t xml:space="preserve">Energy Consumption in Use:</w:t>
      </w:r>
      <w:r>
        <w:t xml:space="preserve"> </w:t>
      </w:r>
      <w:r>
        <w:t xml:space="preserve">lhzjdjhgol (10 kWh/year assumed).</w:t>
      </w:r>
    </w:p>
    <w:p>
      <w:pPr>
        <w:numPr>
          <w:ilvl w:val="0"/>
          <w:numId w:val="1006"/>
        </w:numPr>
        <w:pStyle w:val="Compact"/>
      </w:pPr>
      <w:r>
        <w:rPr>
          <w:bCs/>
          <w:b/>
        </w:rPr>
        <w:t xml:space="preserve">Recyclability:</w:t>
      </w:r>
      <w:r>
        <w:t xml:space="preserve"> </w:t>
      </w:r>
      <w:r>
        <w:t xml:space="preserve">dnoqzgpzln (80% assumed).</w:t>
      </w:r>
    </w:p>
    <w:p>
      <w:pPr>
        <w:numPr>
          <w:ilvl w:val="0"/>
          <w:numId w:val="1006"/>
        </w:numPr>
        <w:pStyle w:val="Compact"/>
      </w:pPr>
      <w:r>
        <w:rPr>
          <w:bCs/>
          <w:b/>
        </w:rPr>
        <w:t xml:space="preserve">Circular Economy Programs:</w:t>
      </w:r>
      <w:r>
        <w:t xml:space="preserve"> </w:t>
      </w:r>
      <w:r>
        <w:t xml:space="preserve">yrvfzprppj (Established program assumed).</w:t>
      </w:r>
    </w:p>
    <w:bookmarkEnd w:id="34"/>
    <w:bookmarkStart w:id="35" w:name="Xa0744ac389de4f6d1f0b1b10482632916843c0f"/>
    <w:p>
      <w:pPr>
        <w:pStyle w:val="Heading3"/>
      </w:pPr>
      <w:r>
        <w:t xml:space="preserve">Secondary Data Points (Illustrative Emission Factors)</w:t>
      </w:r>
    </w:p>
    <w:p>
      <w:pPr>
        <w:pStyle w:val="FirstParagraph"/>
      </w:pPr>
      <w:r>
        <w:t xml:space="preserve">Emission factors (EFs) for various activities are derived from commonly accepted sources. For calculation purposes, representative EFs are used:</w:t>
      </w:r>
    </w:p>
    <w:p>
      <w:pPr>
        <w:numPr>
          <w:ilvl w:val="0"/>
          <w:numId w:val="1007"/>
        </w:numPr>
        <w:pStyle w:val="Compact"/>
      </w:pPr>
      <w:r>
        <w:rPr>
          <w:bCs/>
          <w:b/>
        </w:rPr>
        <w:t xml:space="preserve">Electricity Grid Mix (China):</w:t>
      </w:r>
      <w:r>
        <w:t xml:space="preserve"> </w:t>
      </w:r>
      <w:r>
        <w:t xml:space="preserve">Approx. 0.65 kg CO2e/kWh (based on typical grid mix, varies greatly).</w:t>
      </w:r>
    </w:p>
    <w:p>
      <w:pPr>
        <w:numPr>
          <w:ilvl w:val="0"/>
          <w:numId w:val="1007"/>
        </w:numPr>
        <w:pStyle w:val="Compact"/>
      </w:pPr>
      <w:r>
        <w:rPr>
          <w:bCs/>
          <w:b/>
        </w:rPr>
        <w:t xml:space="preserve">Ocean Freight:</w:t>
      </w:r>
      <w:r>
        <w:t xml:space="preserve"> </w:t>
      </w:r>
      <w:r>
        <w:t xml:space="preserve">Approx. 0.010 kg CO2e/tonne-km.</w:t>
      </w:r>
    </w:p>
    <w:p>
      <w:pPr>
        <w:numPr>
          <w:ilvl w:val="0"/>
          <w:numId w:val="1007"/>
        </w:numPr>
        <w:pStyle w:val="Compact"/>
      </w:pPr>
      <w:r>
        <w:rPr>
          <w:bCs/>
          <w:b/>
        </w:rPr>
        <w:t xml:space="preserve">Road Freight (Commercial Van):</w:t>
      </w:r>
      <w:r>
        <w:t xml:space="preserve"> </w:t>
      </w:r>
      <w:r>
        <w:t xml:space="preserve">Approx. 0.10 kg CO2e/tonne-km.</w:t>
      </w:r>
    </w:p>
    <w:p>
      <w:pPr>
        <w:numPr>
          <w:ilvl w:val="0"/>
          <w:numId w:val="1007"/>
        </w:numPr>
        <w:pStyle w:val="Compact"/>
      </w:pPr>
      <w:r>
        <w:rPr>
          <w:bCs/>
          <w:b/>
        </w:rPr>
        <w:t xml:space="preserve">Waste Management (Landfill):</w:t>
      </w:r>
      <w:r>
        <w:t xml:space="preserve"> </w:t>
      </w:r>
      <w:r>
        <w:t xml:space="preserve">Varies by material, e.g., ~0.5 kg CO2e/kg for plastics.</w:t>
      </w:r>
    </w:p>
    <w:p>
      <w:pPr>
        <w:numPr>
          <w:ilvl w:val="0"/>
          <w:numId w:val="1007"/>
        </w:numPr>
        <w:pStyle w:val="Compact"/>
      </w:pPr>
      <w:r>
        <w:rPr>
          <w:bCs/>
          <w:b/>
        </w:rPr>
        <w:t xml:space="preserve">Recycling Credit:</w:t>
      </w:r>
      <w:r>
        <w:t xml:space="preserve"> </w:t>
      </w:r>
      <w:r>
        <w:t xml:space="preserve">Assumed reduction based on avoided primary production, e.g., ~-1.5 to -2.0 kg CO2e/kg for recycled plastic.</w:t>
      </w:r>
    </w:p>
    <w:p>
      <w:r>
        <w:pict>
          <v:rect style="width:0;height:1.5pt" o:hralign="center" o:hrstd="t" o:hr="t"/>
        </w:pict>
      </w:r>
    </w:p>
    <w:bookmarkEnd w:id="35"/>
    <w:bookmarkEnd w:id="36"/>
    <w:bookmarkStart w:id="48" w:name="Xb404f6bea4a0013006ec7a9103609d9ea6643c1"/>
    <w:p>
      <w:pPr>
        <w:pStyle w:val="Heading2"/>
      </w:pPr>
      <w:r>
        <w:t xml:space="preserve">4. Calculate Emissions (Activity * Emission Factor = CO2e)</w:t>
      </w:r>
    </w:p>
    <w:p>
      <w:pPr>
        <w:pStyle w:val="FirstParagraph"/>
      </w:pPr>
      <w:r>
        <w:t xml:space="preserve">Emissions are calculated for each lifecycle stage, categorized according to the GHG Protocol as Scope 1, Scope 2, and Scope 3.</w:t>
      </w:r>
    </w:p>
    <w:bookmarkStart w:id="45" w:name="Xdf5ff385a0c9dad6de0f784e62338926e566046"/>
    <w:p>
      <w:pPr>
        <w:pStyle w:val="Heading3"/>
      </w:pPr>
      <w:r>
        <w:t xml:space="preserve">Total Product Carbon Footprint (PCF) for towpuofxlq</w:t>
      </w:r>
    </w:p>
    <w:p>
      <w:pPr>
        <w:pStyle w:val="FirstParagraph"/>
      </w:pPr>
      <w:r>
        <w:rPr>
          <w:bCs/>
          <w:b/>
        </w:rPr>
        <w:t xml:space="preserve">Functional Unit: 1.0 unit</w:t>
      </w:r>
    </w:p>
    <w:bookmarkStart w:id="37" w:name="scope-1-emissions-direct-emissions"/>
    <w:p>
      <w:pPr>
        <w:pStyle w:val="Heading4"/>
      </w:pPr>
      <w:r>
        <w:t xml:space="preserve">Scope 1 Emissions (Direct Emissions)</w:t>
      </w:r>
    </w:p>
    <w:p>
      <w:pPr>
        <w:pStyle w:val="FirstParagraph"/>
      </w:pPr>
      <w:r>
        <w:t xml:space="preserve">No direct Scope 1 emissions at the factory gate are assumed for this PCF, as the primary focus is product-level cradle-to-gate impact, typically excluding facility-level fuel combustion unless directly tied to the product manufacturing process beyond energy generation. For this analysis, direct process emissions from product manufacturing are considered negligible or embedded in material/energy factors.</w:t>
      </w:r>
    </w:p>
    <w:bookmarkEnd w:id="37"/>
    <w:bookmarkStart w:id="38" w:name="scope-2-emissions-purchased-energy"/>
    <w:p>
      <w:pPr>
        <w:pStyle w:val="Heading4"/>
      </w:pPr>
      <w:r>
        <w:t xml:space="preserve">Scope 2 Emissions (Purchased Energy)</w:t>
      </w:r>
    </w:p>
    <w:p>
      <w:pPr>
        <w:pStyle w:val="FirstParagraph"/>
      </w:pPr>
      <w:r>
        <w:t xml:space="preserve">These emissions arise from the generation of purchased electricity consumed during the manufacturing of</w:t>
      </w:r>
      <w:r>
        <w:t xml:space="preserve"> </w:t>
      </w:r>
      <w:r>
        <w:rPr>
          <w:bCs/>
          <w:b/>
        </w:rPr>
        <w:t xml:space="preserve">towpuofxlq</w:t>
      </w:r>
      <w:r>
        <w:t xml:space="preserve">.</w:t>
      </w:r>
    </w:p>
    <w:p>
      <w:pPr>
        <w:numPr>
          <w:ilvl w:val="0"/>
          <w:numId w:val="1008"/>
        </w:numPr>
        <w:pStyle w:val="Compact"/>
      </w:pPr>
      <w:r>
        <w:t xml:space="preserve">Energy Intensity: 5 kWh/unit</w:t>
      </w:r>
    </w:p>
    <w:p>
      <w:pPr>
        <w:numPr>
          <w:ilvl w:val="0"/>
          <w:numId w:val="1008"/>
        </w:numPr>
        <w:pStyle w:val="Compact"/>
      </w:pPr>
      <w:r>
        <w:t xml:space="preserve">Renewable Energy Usage: 75%</w:t>
      </w:r>
    </w:p>
    <w:p>
      <w:pPr>
        <w:numPr>
          <w:ilvl w:val="0"/>
          <w:numId w:val="1008"/>
        </w:numPr>
        <w:pStyle w:val="Compact"/>
      </w:pPr>
      <w:r>
        <w:t xml:space="preserve">Non-renewable energy: 5 kWh/unit * (1 - 0.75) = 1.25 kWh/unit</w:t>
      </w:r>
    </w:p>
    <w:p>
      <w:pPr>
        <w:numPr>
          <w:ilvl w:val="0"/>
          <w:numId w:val="1008"/>
        </w:numPr>
        <w:pStyle w:val="Compact"/>
      </w:pPr>
      <w:r>
        <w:t xml:space="preserve">Emission Factor (China grid, illustrative): 0.65 kg CO2e/kWh (for non-renewable portion)</w:t>
      </w:r>
    </w:p>
    <w:p>
      <w:pPr>
        <w:numPr>
          <w:ilvl w:val="0"/>
          <w:numId w:val="1008"/>
        </w:numPr>
        <w:pStyle w:val="Compact"/>
      </w:pPr>
      <w:r>
        <w:rPr>
          <w:bCs/>
          <w:b/>
        </w:rPr>
        <w:t xml:space="preserve">Scope 2 Emissions = 1.25 kWh/unit * 0.65 kg CO2e/kWh = 0.8125 kg CO2e/unit</w:t>
      </w:r>
    </w:p>
    <w:bookmarkEnd w:id="38"/>
    <w:bookmarkStart w:id="43" w:name="scope-3-emissions-value-chain-emissions"/>
    <w:p>
      <w:pPr>
        <w:pStyle w:val="Heading4"/>
      </w:pPr>
      <w:r>
        <w:t xml:space="preserve">Scope 3 Emissions (Value Chain Emissions)</w:t>
      </w:r>
    </w:p>
    <w:p>
      <w:pPr>
        <w:pStyle w:val="FirstParagraph"/>
      </w:pPr>
      <w:r>
        <w:t xml:space="preserve">This category covers all other indirect emissions throughout the value chain, ensuring at least 95% coverage as per 2026 requirements.</w:t>
      </w:r>
    </w:p>
    <w:bookmarkStart w:id="39" w:name="materials-upstream-emissions"/>
    <w:p>
      <w:pPr>
        <w:pStyle w:val="Heading5"/>
      </w:pPr>
      <w:r>
        <w:t xml:space="preserve">4.1. Materials (Upstream Emissions)</w:t>
      </w:r>
    </w:p>
    <w:p>
      <w:pPr>
        <w:pStyle w:val="FirstParagraph"/>
      </w:pPr>
      <w:r>
        <w:t xml:space="preserve">Based on the illustrative BOM data, the sum of "Total Carbon" values:</w:t>
      </w:r>
    </w:p>
    <w:p>
      <w:pPr>
        <w:numPr>
          <w:ilvl w:val="0"/>
          <w:numId w:val="1009"/>
        </w:numPr>
        <w:pStyle w:val="Compact"/>
      </w:pPr>
      <w:r>
        <w:t xml:space="preserve">Plastic Casing: 1.25 kg CO2e</w:t>
      </w:r>
    </w:p>
    <w:p>
      <w:pPr>
        <w:numPr>
          <w:ilvl w:val="0"/>
          <w:numId w:val="1009"/>
        </w:numPr>
        <w:pStyle w:val="Compact"/>
      </w:pPr>
      <w:r>
        <w:t xml:space="preserve">Circuit Board: 1.50 kg CO2e</w:t>
      </w:r>
    </w:p>
    <w:p>
      <w:pPr>
        <w:numPr>
          <w:ilvl w:val="0"/>
          <w:numId w:val="1009"/>
        </w:numPr>
        <w:pStyle w:val="Compact"/>
      </w:pPr>
      <w:r>
        <w:t xml:space="preserve">Copper Wire: 0.16 kg CO2e</w:t>
      </w:r>
    </w:p>
    <w:p>
      <w:pPr>
        <w:numPr>
          <w:ilvl w:val="0"/>
          <w:numId w:val="1009"/>
        </w:numPr>
        <w:pStyle w:val="Compact"/>
      </w:pPr>
      <w:r>
        <w:t xml:space="preserve">Lithium Battery: 1.00 kg CO2e</w:t>
      </w:r>
    </w:p>
    <w:p>
      <w:pPr>
        <w:numPr>
          <w:ilvl w:val="0"/>
          <w:numId w:val="1009"/>
        </w:numPr>
        <w:pStyle w:val="Compact"/>
      </w:pPr>
      <w:r>
        <w:t xml:space="preserve">Packaging Cardboard: 0.05 kg CO2e</w:t>
      </w:r>
    </w:p>
    <w:p>
      <w:pPr>
        <w:pStyle w:val="FirstParagraph"/>
      </w:pPr>
      <w:r>
        <w:rPr>
          <w:bCs/>
          <w:b/>
        </w:rPr>
        <w:t xml:space="preserve">Total Material Emissions = 1.25 + 1.50 + 0.16 + 1.00 + 0.05 = 3.96 kg CO2e/unit</w:t>
      </w:r>
    </w:p>
    <w:bookmarkEnd w:id="39"/>
    <w:bookmarkStart w:id="40" w:name="X80720cf1ff2a99ce09d4054b480ef6517cd1a42"/>
    <w:p>
      <w:pPr>
        <w:pStyle w:val="Heading5"/>
      </w:pPr>
      <w:r>
        <w:t xml:space="preserve">4.2. Transportation (Inbound Logistics &amp; Last-Mile Delivery)</w:t>
      </w:r>
    </w:p>
    <w:p>
      <w:pPr>
        <w:pStyle w:val="FirstParagraph"/>
      </w:pPr>
      <w:r>
        <w:t xml:space="preserve">Assuming a total product weight of approximately 1 kg (based on BOM quantities) for illustrative purposes.</w:t>
      </w:r>
    </w:p>
    <w:p>
      <w:pPr>
        <w:numPr>
          <w:ilvl w:val="0"/>
          <w:numId w:val="1010"/>
        </w:numPr>
        <w:pStyle w:val="Compact"/>
      </w:pPr>
      <w:r>
        <w:rPr>
          <w:bCs/>
          <w:b/>
        </w:rPr>
        <w:t xml:space="preserve">Inbound Logistics (Europe to China - Ocean Freight):</w:t>
      </w:r>
    </w:p>
    <w:p>
      <w:pPr>
        <w:numPr>
          <w:ilvl w:val="1"/>
          <w:numId w:val="1011"/>
        </w:numPr>
        <w:pStyle w:val="Compact"/>
      </w:pPr>
      <w:r>
        <w:t xml:space="preserve">Distance: 2000 km</w:t>
      </w:r>
    </w:p>
    <w:p>
      <w:pPr>
        <w:numPr>
          <w:ilvl w:val="1"/>
          <w:numId w:val="1011"/>
        </w:numPr>
        <w:pStyle w:val="Compact"/>
      </w:pPr>
      <w:r>
        <w:t xml:space="preserve">Product Weight: 1 kg = 0.001 tonne</w:t>
      </w:r>
    </w:p>
    <w:p>
      <w:pPr>
        <w:numPr>
          <w:ilvl w:val="1"/>
          <w:numId w:val="1011"/>
        </w:numPr>
        <w:pStyle w:val="Compact"/>
      </w:pPr>
      <w:r>
        <w:t xml:space="preserve">Emission Factor (Ocean Freight): 0.010 kg CO2e/tonne-km (illustrative)</w:t>
      </w:r>
    </w:p>
    <w:p>
      <w:pPr>
        <w:numPr>
          <w:ilvl w:val="1"/>
          <w:numId w:val="1011"/>
        </w:numPr>
        <w:pStyle w:val="Compact"/>
      </w:pPr>
      <w:r>
        <w:t xml:space="preserve">Emissions = 0.001 tonne * 2000 km * 0.010 kg CO2e/tonne-km = 0.02 kg CO2e/unit</w:t>
      </w:r>
    </w:p>
    <w:p>
      <w:pPr>
        <w:numPr>
          <w:ilvl w:val="0"/>
          <w:numId w:val="1010"/>
        </w:numPr>
        <w:pStyle w:val="Compact"/>
      </w:pPr>
      <w:r>
        <w:rPr>
          <w:bCs/>
          <w:b/>
        </w:rPr>
        <w:t xml:space="preserve">Last-Mile Delivery (within region, e.g., China to customer - Commercial Van):</w:t>
      </w:r>
    </w:p>
    <w:p>
      <w:pPr>
        <w:numPr>
          <w:ilvl w:val="1"/>
          <w:numId w:val="1012"/>
        </w:numPr>
        <w:pStyle w:val="Compact"/>
      </w:pPr>
      <w:r>
        <w:t xml:space="preserve">Distance: Assumed 100 km</w:t>
      </w:r>
    </w:p>
    <w:p>
      <w:pPr>
        <w:numPr>
          <w:ilvl w:val="1"/>
          <w:numId w:val="1012"/>
        </w:numPr>
        <w:pStyle w:val="Compact"/>
      </w:pPr>
      <w:r>
        <w:t xml:space="preserve">Product Weight: 0.001 tonne</w:t>
      </w:r>
    </w:p>
    <w:p>
      <w:pPr>
        <w:numPr>
          <w:ilvl w:val="1"/>
          <w:numId w:val="1012"/>
        </w:numPr>
        <w:pStyle w:val="Compact"/>
      </w:pPr>
      <w:r>
        <w:t xml:space="preserve">Emission Factor (Commercial Van): 0.10 kg CO2e/tonne-km (illustrative)</w:t>
      </w:r>
    </w:p>
    <w:p>
      <w:pPr>
        <w:numPr>
          <w:ilvl w:val="1"/>
          <w:numId w:val="1012"/>
        </w:numPr>
        <w:pStyle w:val="Compact"/>
      </w:pPr>
      <w:r>
        <w:t xml:space="preserve">Emissions = 0.001 tonne * 100 km * 0.10 kg CO2e/tonne-km = 0.01 kg CO2e/unit</w:t>
      </w:r>
    </w:p>
    <w:p>
      <w:pPr>
        <w:pStyle w:val="FirstParagraph"/>
      </w:pPr>
      <w:r>
        <w:rPr>
          <w:bCs/>
          <w:b/>
        </w:rPr>
        <w:t xml:space="preserve">Total Transportation Emissions = 0.02 + 0.01 = 0.03 kg CO2e/unit</w:t>
      </w:r>
    </w:p>
    <w:bookmarkEnd w:id="40"/>
    <w:bookmarkStart w:id="41" w:name="use-phase-emissions"/>
    <w:p>
      <w:pPr>
        <w:pStyle w:val="Heading5"/>
      </w:pPr>
      <w:r>
        <w:t xml:space="preserve">4.3. Use Phase Emissions</w:t>
      </w:r>
    </w:p>
    <w:p>
      <w:pPr>
        <w:numPr>
          <w:ilvl w:val="0"/>
          <w:numId w:val="1013"/>
        </w:numPr>
        <w:pStyle w:val="Compact"/>
      </w:pPr>
      <w:r>
        <w:t xml:space="preserve">Product Lifespan: 5 years</w:t>
      </w:r>
    </w:p>
    <w:p>
      <w:pPr>
        <w:numPr>
          <w:ilvl w:val="0"/>
          <w:numId w:val="1013"/>
        </w:numPr>
        <w:pStyle w:val="Compact"/>
      </w:pPr>
      <w:r>
        <w:t xml:space="preserve">Energy Consumption in Use: 10 kWh/year</w:t>
      </w:r>
    </w:p>
    <w:p>
      <w:pPr>
        <w:numPr>
          <w:ilvl w:val="0"/>
          <w:numId w:val="1013"/>
        </w:numPr>
        <w:pStyle w:val="Compact"/>
      </w:pPr>
      <w:r>
        <w:t xml:space="preserve">Total Energy in Use = 10 kWh/year * 5 years = 50 kWh/unit</w:t>
      </w:r>
    </w:p>
    <w:p>
      <w:pPr>
        <w:numPr>
          <w:ilvl w:val="0"/>
          <w:numId w:val="1013"/>
        </w:numPr>
        <w:pStyle w:val="Compact"/>
      </w:pPr>
      <w:r>
        <w:t xml:space="preserve">Emission Factor (User\'s Grid Mix, assumed similar to average global mix): 0.4 kg CO2e/kWh (illustrative)</w:t>
      </w:r>
    </w:p>
    <w:p>
      <w:pPr>
        <w:pStyle w:val="FirstParagraph"/>
      </w:pPr>
      <w:r>
        <w:rPr>
          <w:bCs/>
          <w:b/>
        </w:rPr>
        <w:t xml:space="preserve">Use Phase Emissions = 50 kWh/unit * 0.4 kg CO2e/kWh = 20.0 kg CO2e/unit</w:t>
      </w:r>
    </w:p>
    <w:bookmarkEnd w:id="41"/>
    <w:bookmarkStart w:id="42" w:name="end-of-life-eol-emissions-credits"/>
    <w:p>
      <w:pPr>
        <w:pStyle w:val="Heading5"/>
      </w:pPr>
      <w:r>
        <w:t xml:space="preserve">4.4. End-of-Life (EoL) Emissions / Credits</w:t>
      </w:r>
    </w:p>
    <w:p>
      <w:pPr>
        <w:numPr>
          <w:ilvl w:val="0"/>
          <w:numId w:val="1014"/>
        </w:numPr>
        <w:pStyle w:val="Compact"/>
      </w:pPr>
      <w:r>
        <w:t xml:space="preserve">Recyclability Percentage: 80%</w:t>
      </w:r>
    </w:p>
    <w:p>
      <w:pPr>
        <w:numPr>
          <w:ilvl w:val="0"/>
          <w:numId w:val="1014"/>
        </w:numPr>
        <w:pStyle w:val="Compact"/>
      </w:pPr>
      <w:r>
        <w:t xml:space="preserve">Non-recyclable portion: 1 kg * (1 - 0.80) = 0.2 kg</w:t>
      </w:r>
    </w:p>
    <w:p>
      <w:pPr>
        <w:numPr>
          <w:ilvl w:val="0"/>
          <w:numId w:val="1014"/>
        </w:numPr>
        <w:pStyle w:val="Compact"/>
      </w:pPr>
      <w:r>
        <w:t xml:space="preserve">Waste to Landfill (illustrative): 0.2 kg * 0.5 kg CO2e/kg = 0.1 kg CO2e/unit</w:t>
      </w:r>
    </w:p>
    <w:p>
      <w:pPr>
        <w:numPr>
          <w:ilvl w:val="0"/>
          <w:numId w:val="1014"/>
        </w:numPr>
        <w:pStyle w:val="Compact"/>
      </w:pPr>
      <w:r>
        <w:t xml:space="preserve">Recycling Credit (avoided primary production for 80% of material, illustrative average): -1.5 kg CO2e/kg * 0.8 kg = -1.2 kg CO2e/unit (This is a simplified credit calculation)</w:t>
      </w:r>
    </w:p>
    <w:p>
      <w:pPr>
        <w:pStyle w:val="FirstParagraph"/>
      </w:pPr>
      <w:r>
        <w:rPr>
          <w:bCs/>
          <w:b/>
        </w:rPr>
        <w:t xml:space="preserve">Net EoL Emissions = 0.1 - 1.2 = -1.1 kg CO2e/unit</w:t>
      </w:r>
      <w:r>
        <w:t xml:space="preserve"> </w:t>
      </w:r>
      <w:r>
        <w:t xml:space="preserve">(a net saving due to high recyclability and circular programs)</w:t>
      </w:r>
    </w:p>
    <w:bookmarkEnd w:id="42"/>
    <w:bookmarkEnd w:id="43"/>
    <w:bookmarkStart w:id="44" w:name="X8235d3364235c81d7c2227d9ea8cbdd20aea0ff"/>
    <w:p>
      <w:pPr>
        <w:pStyle w:val="Heading4"/>
      </w:pPr>
      <w:r>
        <w:t xml:space="preserve">Summary of Emissions by Scope (per 1.0 unit of towpuofxlq)</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 Category</w:t>
            </w:r>
          </w:p>
        </w:tc>
        <w:tc>
          <w:tcPr/>
          <w:p>
            <w:pPr>
              <w:pStyle w:val="Compact"/>
              <w:jc w:val="left"/>
            </w:pPr>
            <w:r>
              <w:t xml:space="preserve">Lifecycle Stage</w:t>
            </w:r>
          </w:p>
        </w:tc>
        <w:tc>
          <w:tcPr/>
          <w:p>
            <w:pPr>
              <w:pStyle w:val="Compact"/>
              <w:jc w:val="left"/>
            </w:pPr>
            <w:r>
              <w:t xml:space="preserve">Emissions (kg CO2e/unit)</w:t>
            </w:r>
          </w:p>
        </w:tc>
      </w:tr>
      <w:tr>
        <w:tc>
          <w:tcPr/>
          <w:p>
            <w:pPr>
              <w:pStyle w:val="Compact"/>
              <w:jc w:val="left"/>
            </w:pPr>
            <w:r>
              <w:rPr>
                <w:bCs/>
                <w:b/>
              </w:rPr>
              <w:t xml:space="preserve">Scope 1</w:t>
            </w:r>
          </w:p>
        </w:tc>
        <w:tc>
          <w:tcPr/>
          <w:p>
            <w:pPr>
              <w:pStyle w:val="Compact"/>
              <w:jc w:val="left"/>
            </w:pPr>
            <w:r>
              <w:t xml:space="preserve">Direct Process Emissions</w:t>
            </w:r>
          </w:p>
        </w:tc>
        <w:tc>
          <w:tcPr/>
          <w:p>
            <w:pPr>
              <w:pStyle w:val="Compact"/>
              <w:jc w:val="left"/>
            </w:pPr>
            <w:r>
              <w:t xml:space="preserve">0.00</w:t>
            </w:r>
          </w:p>
        </w:tc>
      </w:tr>
      <w:tr>
        <w:tc>
          <w:tcPr/>
          <w:p>
            <w:pPr>
              <w:pStyle w:val="Compact"/>
              <w:jc w:val="left"/>
            </w:pPr>
            <w:r>
              <w:rPr>
                <w:bCs/>
                <w:b/>
              </w:rPr>
              <w:t xml:space="preserve">Scope 2</w:t>
            </w:r>
          </w:p>
        </w:tc>
        <w:tc>
          <w:tcPr/>
          <w:p>
            <w:pPr>
              <w:pStyle w:val="Compact"/>
              <w:jc w:val="left"/>
            </w:pPr>
            <w:r>
              <w:t xml:space="preserve">Purchased Electricity (Manufacturing)</w:t>
            </w:r>
          </w:p>
        </w:tc>
        <w:tc>
          <w:tcPr/>
          <w:p>
            <w:pPr>
              <w:pStyle w:val="Compact"/>
              <w:jc w:val="left"/>
            </w:pPr>
            <w:r>
              <w:t xml:space="preserve">0.81</w:t>
            </w:r>
          </w:p>
        </w:tc>
      </w:tr>
      <w:tr>
        <w:tc>
          <w:tcPr>
            <w:vMerge w:val="restart"/>
          </w:tcPr>
          <w:p>
            <w:pPr>
              <w:pStyle w:val="Compact"/>
              <w:jc w:val="left"/>
            </w:pPr>
            <w:r>
              <w:rPr>
                <w:bCs/>
                <w:b/>
              </w:rPr>
              <w:t xml:space="preserve">Scope 3</w:t>
            </w:r>
          </w:p>
        </w:tc>
        <w:tc>
          <w:tcPr/>
          <w:p>
            <w:pPr>
              <w:pStyle w:val="Compact"/>
              <w:jc w:val="left"/>
            </w:pPr>
            <w:r>
              <w:t xml:space="preserve">Materials (Upstream)</w:t>
            </w:r>
          </w:p>
        </w:tc>
        <w:tc>
          <w:tcPr/>
          <w:p>
            <w:pPr>
              <w:pStyle w:val="Compact"/>
              <w:jc w:val="left"/>
            </w:pPr>
            <w:r>
              <w:t xml:space="preserve">3.96</w:t>
            </w:r>
          </w:p>
        </w:tc>
      </w:tr>
      <w:tr>
        <w:tc>
          <w:tcPr>
            <w:gridSpan w:val="1"/>
            <w:vMerge w:val="continue"/>
          </w:tcPr>
          <w:p>
            <w:pPr/>
          </w:p>
        </w:tc>
        <w:tc>
          <w:tcPr/>
          <w:p>
            <w:pPr>
              <w:pStyle w:val="Compact"/>
              <w:jc w:val="left"/>
            </w:pPr>
            <w:r>
              <w:t xml:space="preserve">Transportation (Inbound &amp; Last-Mile)</w:t>
            </w:r>
          </w:p>
        </w:tc>
        <w:tc>
          <w:tcPr/>
          <w:p>
            <w:pPr>
              <w:pStyle w:val="Compact"/>
              <w:jc w:val="left"/>
            </w:pPr>
            <w:r>
              <w:t xml:space="preserve">0.03</w:t>
            </w:r>
          </w:p>
        </w:tc>
      </w:tr>
      <w:tr>
        <w:tc>
          <w:tcPr>
            <w:gridSpan w:val="1"/>
            <w:vMerge w:val="continue"/>
          </w:tcPr>
          <w:p>
            <w:pPr/>
          </w:p>
        </w:tc>
        <w:tc>
          <w:tcPr/>
          <w:p>
            <w:pPr>
              <w:pStyle w:val="Compact"/>
              <w:jc w:val="left"/>
            </w:pPr>
            <w:r>
              <w:t xml:space="preserve">Use Phase</w:t>
            </w:r>
          </w:p>
        </w:tc>
        <w:tc>
          <w:tcPr/>
          <w:p>
            <w:pPr>
              <w:pStyle w:val="Compact"/>
              <w:jc w:val="left"/>
            </w:pPr>
            <w:r>
              <w:t xml:space="preserve">20.00</w:t>
            </w:r>
          </w:p>
        </w:tc>
      </w:tr>
      <w:tr>
        <w:tc>
          <w:tcPr>
            <w:gridSpan w:val="1"/>
            <w:vMerge w:val="continue"/>
          </w:tcPr>
          <w:p>
            <w:pPr/>
          </w:p>
        </w:tc>
        <w:tc>
          <w:tcPr/>
          <w:p>
            <w:pPr>
              <w:pStyle w:val="Compact"/>
              <w:jc w:val="left"/>
            </w:pPr>
            <w:r>
              <w:t xml:space="preserve">End-of-Life (Net)</w:t>
            </w:r>
          </w:p>
        </w:tc>
        <w:tc>
          <w:tcPr/>
          <w:p>
            <w:pPr>
              <w:pStyle w:val="Compact"/>
              <w:jc w:val="left"/>
            </w:pPr>
            <w:r>
              <w:t xml:space="preserve">-1.10</w:t>
            </w:r>
          </w:p>
        </w:tc>
      </w:tr>
      <w:tr>
        <w:tc>
          <w:tcPr>
            <w:gridSpan w:val="2"/>
          </w:tcPr>
          <w:p>
            <w:pPr>
              <w:pStyle w:val="Compact"/>
              <w:jc w:val="left"/>
            </w:pPr>
            <w:r>
              <w:t xml:space="preserve">TOTAL PRODUCT CARBON FOOTPRINT</w:t>
            </w:r>
          </w:p>
        </w:tc>
        <w:tc>
          <w:tcPr/>
          <w:p>
            <w:pPr>
              <w:pStyle w:val="Compact"/>
              <w:jc w:val="left"/>
            </w:pPr>
            <w:r>
              <w:t xml:space="preserve">23.70 kg CO2e/unit</w:t>
            </w:r>
          </w:p>
        </w:tc>
      </w:tr>
    </w:tbl>
    <w:p>
      <w:pPr>
        <w:pStyle w:val="BodyText"/>
      </w:pPr>
      <w:r>
        <w:rPr>
          <w:bCs/>
          <w:b/>
        </w:rPr>
        <w:t xml:space="preserve">Total Product Carbon Footprint: 23.70 kg CO2e/unit</w:t>
      </w:r>
    </w:p>
    <w:bookmarkEnd w:id="44"/>
    <w:bookmarkEnd w:id="45"/>
    <w:bookmarkStart w:id="46" w:name="X439aeab12f653c5be8a9767687610423a65f1bc"/>
    <w:p>
      <w:pPr>
        <w:pStyle w:val="Heading3"/>
      </w:pPr>
      <w:r>
        <w:t xml:space="preserve">2026 LSR Update: Land Sector and Removals (LSR) Standard</w:t>
      </w:r>
    </w:p>
    <w:p>
      <w:pPr>
        <w:pStyle w:val="FirstParagraph"/>
      </w:pPr>
      <w:r>
        <w:t xml:space="preserve">In accordance with the 2026 GHG Protocol LSR Standard, this analysis acknowledges the importance of land use and carbon removals. While specific land-use change data was not provided for raw material sourcing, the carbon footprint of bio-based materials (e.g., packaging cardboard) implicitly accounts for land use emissions/removals based on their emission factors. For future analyses, explicit quantification of land-use change emissions and potential carbon removals through nature-based solutions or carbon capture technologies associated with</w:t>
      </w:r>
      <w:r>
        <w:t xml:space="preserve"> </w:t>
      </w:r>
      <w:r>
        <w:rPr>
          <w:bCs/>
          <w:b/>
        </w:rPr>
        <w:t xml:space="preserve">towpuofxlq</w:t>
      </w:r>
      <w:r>
        <w:t xml:space="preserve">\'s value chain should be integrated.</w:t>
      </w:r>
    </w:p>
    <w:bookmarkEnd w:id="46"/>
    <w:bookmarkStart w:id="47" w:name="scope-3-compliance"/>
    <w:p>
      <w:pPr>
        <w:pStyle w:val="Heading3"/>
      </w:pPr>
      <w:r>
        <w:t xml:space="preserve">Scope 3 Compliance</w:t>
      </w:r>
    </w:p>
    <w:p>
      <w:pPr>
        <w:pStyle w:val="FirstParagraph"/>
      </w:pPr>
      <w:r>
        <w:t xml:space="preserve">The analysis for Scope 3 emissions covers Materials, Transportation, Use Phase, and End-of-Life, addressing the most significant upstream and downstream categories. With these categories, the report aims to achieve well over 95% coverage of the product\'s value chain emissions, aligning with 2026 GHG Protocol requirements.</w:t>
      </w:r>
    </w:p>
    <w:p>
      <w:r>
        <w:pict>
          <v:rect style="width:0;height:1.5pt" o:hralign="center" o:hrstd="t" o:hr="t"/>
        </w:pict>
      </w:r>
    </w:p>
    <w:bookmarkEnd w:id="47"/>
    <w:bookmarkEnd w:id="48"/>
    <w:bookmarkStart w:id="52" w:name="review-report"/>
    <w:p>
      <w:pPr>
        <w:pStyle w:val="Heading2"/>
      </w:pPr>
      <w:r>
        <w:t xml:space="preserve">5. Review &amp; Report</w:t>
      </w:r>
    </w:p>
    <w:bookmarkStart w:id="49" w:name="identified-hotspots"/>
    <w:p>
      <w:pPr>
        <w:pStyle w:val="Heading3"/>
      </w:pPr>
      <w:r>
        <w:t xml:space="preserve">Identified Hotspots</w:t>
      </w:r>
    </w:p>
    <w:p>
      <w:pPr>
        <w:pStyle w:val="FirstParagraph"/>
      </w:pPr>
      <w:r>
        <w:t xml:space="preserve">The analysis reveals the following key emission hotspots for</w:t>
      </w:r>
      <w:r>
        <w:t xml:space="preserve"> </w:t>
      </w:r>
      <w:r>
        <w:rPr>
          <w:bCs/>
          <w:b/>
        </w:rPr>
        <w:t xml:space="preserve">towpuofxlq</w:t>
      </w:r>
      <w:r>
        <w:t xml:space="preserve">:</w:t>
      </w:r>
    </w:p>
    <w:p>
      <w:pPr>
        <w:numPr>
          <w:ilvl w:val="0"/>
          <w:numId w:val="1015"/>
        </w:numPr>
        <w:pStyle w:val="Compact"/>
      </w:pPr>
      <w:r>
        <w:rPr>
          <w:bCs/>
          <w:b/>
        </w:rPr>
        <w:t xml:space="preserve">Use Phase (20.00 kg CO2e):</w:t>
      </w:r>
      <w:r>
        <w:t xml:space="preserve"> </w:t>
      </w:r>
      <w:r>
        <w:t xml:space="preserve">This is by far the largest contributor, primarily due to the energy consumption over the product\'s 5-year lifespan. This suggests that improving energy efficiency during use is paramount.</w:t>
      </w:r>
    </w:p>
    <w:p>
      <w:pPr>
        <w:numPr>
          <w:ilvl w:val="0"/>
          <w:numId w:val="1015"/>
        </w:numPr>
        <w:pStyle w:val="Compact"/>
      </w:pPr>
      <w:r>
        <w:rPr>
          <w:bCs/>
          <w:b/>
        </w:rPr>
        <w:t xml:space="preserve">Materials (3.96 kg CO2e):</w:t>
      </w:r>
      <w:r>
        <w:t xml:space="preserve"> </w:t>
      </w:r>
      <w:r>
        <w:t xml:space="preserve">The raw materials, particularly plastics and electronics (circuit board, lithium battery), represent the second-largest impact area. Focusing on sustainable sourcing, material light-weighting, and design for recyclability can mitigate this.</w:t>
      </w:r>
    </w:p>
    <w:p>
      <w:pPr>
        <w:numPr>
          <w:ilvl w:val="0"/>
          <w:numId w:val="1015"/>
        </w:numPr>
        <w:pStyle w:val="Compact"/>
      </w:pPr>
      <w:r>
        <w:rPr>
          <w:bCs/>
          <w:b/>
        </w:rPr>
        <w:t xml:space="preserve">Manufacturing (0.81 kg CO2e):</w:t>
      </w:r>
      <w:r>
        <w:t xml:space="preserve"> </w:t>
      </w:r>
      <w:r>
        <w:t xml:space="preserve">While significant, the impact from manufacturing is relatively lower, largely offset by the 75% renewable energy usage. Further increasing renewable energy integration can reduce this.</w:t>
      </w:r>
    </w:p>
    <w:p>
      <w:pPr>
        <w:numPr>
          <w:ilvl w:val="0"/>
          <w:numId w:val="1015"/>
        </w:numPr>
        <w:pStyle w:val="Compact"/>
      </w:pPr>
      <w:r>
        <w:rPr>
          <w:bCs/>
          <w:b/>
        </w:rPr>
        <w:t xml:space="preserve">End-of-Life (-1.10 kg CO2e):</w:t>
      </w:r>
      <w:r>
        <w:t xml:space="preserve"> </w:t>
      </w:r>
      <w:r>
        <w:t xml:space="preserve">The high recyclability and existing circular programs lead to a net carbon saving in this phase, demonstrating the positive impact of circular economy initiatives.</w:t>
      </w:r>
    </w:p>
    <w:bookmarkEnd w:id="49"/>
    <w:bookmarkStart w:id="50" w:name="reliability-and-limitations"/>
    <w:p>
      <w:pPr>
        <w:pStyle w:val="Heading3"/>
      </w:pPr>
      <w:r>
        <w:t xml:space="preserve">Reliability and Limitations</w:t>
      </w:r>
    </w:p>
    <w:p>
      <w:pPr>
        <w:pStyle w:val="FirstParagraph"/>
      </w:pPr>
      <w:r>
        <w:t xml:space="preserve">The reliability of this PCF is good given the adherence to the GHG Protocol and the detailed methodology. However, limitations include:</w:t>
      </w:r>
    </w:p>
    <w:p>
      <w:pPr>
        <w:numPr>
          <w:ilvl w:val="0"/>
          <w:numId w:val="1016"/>
        </w:numPr>
        <w:pStyle w:val="Compact"/>
      </w:pPr>
      <w:r>
        <w:rPr>
          <w:bCs/>
          <w:b/>
        </w:rPr>
        <w:t xml:space="preserve">Data Specificity:</w:t>
      </w:r>
      <w:r>
        <w:t xml:space="preserve"> </w:t>
      </w:r>
      <w:r>
        <w:t xml:space="preserve">Some input parameters were illustrative (e.g., specific BOM data for \'lyedkfil\', transport distances, emission factors) due to the placeholder nature in the request. Actual data from</w:t>
      </w:r>
      <w:r>
        <w:t xml:space="preserve"> </w:t>
      </w:r>
      <w:r>
        <w:rPr>
          <w:bCs/>
          <w:b/>
        </w:rPr>
        <w:t xml:space="preserve">tjevzmdmow</w:t>
      </w:r>
      <w:r>
        <w:t xml:space="preserve"> </w:t>
      </w:r>
      <w:r>
        <w:t xml:space="preserve">would enhance accuracy.</w:t>
      </w:r>
    </w:p>
    <w:p>
      <w:pPr>
        <w:numPr>
          <w:ilvl w:val="0"/>
          <w:numId w:val="1016"/>
        </w:numPr>
        <w:pStyle w:val="Compact"/>
      </w:pPr>
      <w:r>
        <w:rPr>
          <w:bCs/>
          <w:b/>
        </w:rPr>
        <w:t xml:space="preserve">Emission Factor Database:</w:t>
      </w:r>
      <w:r>
        <w:t xml:space="preserve"> </w:t>
      </w:r>
      <w:r>
        <w:t xml:space="preserve">Generic, illustrative emission factors were used instead of direct Ecoinvent/DEFRA database access, which could introduce minor variations from highly specific calculations.</w:t>
      </w:r>
    </w:p>
    <w:p>
      <w:pPr>
        <w:numPr>
          <w:ilvl w:val="0"/>
          <w:numId w:val="1016"/>
        </w:numPr>
        <w:pStyle w:val="Compact"/>
      </w:pPr>
      <w:r>
        <w:rPr>
          <w:bCs/>
          <w:b/>
        </w:rPr>
        <w:t xml:space="preserve">Dynamic Nature:</w:t>
      </w:r>
      <w:r>
        <w:t xml:space="preserve"> </w:t>
      </w:r>
      <w:r>
        <w:t xml:space="preserve">Carbon footprints are dynamic and subject to changes in energy grids, material production, and logistics efficiencies over time.</w:t>
      </w:r>
    </w:p>
    <w:bookmarkEnd w:id="50"/>
    <w:bookmarkStart w:id="51" w:name="recommendations-for-emission-reduction"/>
    <w:p>
      <w:pPr>
        <w:pStyle w:val="Heading3"/>
      </w:pPr>
      <w:r>
        <w:t xml:space="preserve">Recommendations for Emission Reduction</w:t>
      </w:r>
    </w:p>
    <w:p>
      <w:pPr>
        <w:pStyle w:val="FirstParagraph"/>
      </w:pPr>
      <w:r>
        <w:t xml:space="preserve">Based on the hotspot analysis,</w:t>
      </w:r>
      <w:r>
        <w:t xml:space="preserve"> </w:t>
      </w:r>
      <w:r>
        <w:rPr>
          <w:bCs/>
          <w:b/>
        </w:rPr>
        <w:t xml:space="preserve">yrkiizhyjr</w:t>
      </w:r>
      <w:r>
        <w:t xml:space="preserve"> </w:t>
      </w:r>
      <w:r>
        <w:t xml:space="preserve">recommends the following actions for</w:t>
      </w:r>
      <w:r>
        <w:t xml:space="preserve"> </w:t>
      </w:r>
      <w:r>
        <w:rPr>
          <w:bCs/>
          <w:b/>
        </w:rPr>
        <w:t xml:space="preserve">tjevzmdmow</w:t>
      </w:r>
      <w:r>
        <w:t xml:space="preserve"> </w:t>
      </w:r>
      <w:r>
        <w:t xml:space="preserve">to reduce the carbon footprint of</w:t>
      </w:r>
      <w:r>
        <w:t xml:space="preserve"> </w:t>
      </w:r>
      <w:r>
        <w:rPr>
          <w:bCs/>
          <w:b/>
        </w:rPr>
        <w:t xml:space="preserve">towpuofxlq</w:t>
      </w:r>
      <w:r>
        <w:t xml:space="preserve">:</w:t>
      </w:r>
    </w:p>
    <w:p>
      <w:pPr>
        <w:numPr>
          <w:ilvl w:val="0"/>
          <w:numId w:val="1017"/>
        </w:numPr>
        <w:pStyle w:val="Compact"/>
      </w:pPr>
      <w:r>
        <w:rPr>
          <w:bCs/>
          <w:b/>
        </w:rPr>
        <w:t xml:space="preserve">Enhance Use Phase Efficiency:</w:t>
      </w:r>
      <w:r>
        <w:t xml:space="preserve"> </w:t>
      </w:r>
      <w:r>
        <w:t xml:space="preserve">Focus on product design innovations that significantly reduce energy consumption during the 5-year lifespan. This could involve more energy-efficient components or smart power management features.</w:t>
      </w:r>
    </w:p>
    <w:p>
      <w:pPr>
        <w:numPr>
          <w:ilvl w:val="0"/>
          <w:numId w:val="1017"/>
        </w:numPr>
        <w:pStyle w:val="Compact"/>
      </w:pPr>
      <w:r>
        <w:rPr>
          <w:bCs/>
          <w:b/>
        </w:rPr>
        <w:t xml:space="preserve">Sustainable Material Sourcing:</w:t>
      </w:r>
      <w:r>
        <w:t xml:space="preserve"> </w:t>
      </w:r>
      <w:r>
        <w:t xml:space="preserve">Explore alternative, lower-carbon materials for the plastic casing, circuit board, and battery components. This includes increasing recycled content and investigating bio-based or rapidly renewable materials.</w:t>
      </w:r>
    </w:p>
    <w:p>
      <w:pPr>
        <w:numPr>
          <w:ilvl w:val="0"/>
          <w:numId w:val="1017"/>
        </w:numPr>
        <w:pStyle w:val="Compact"/>
      </w:pPr>
      <w:r>
        <w:rPr>
          <w:bCs/>
          <w:b/>
        </w:rPr>
        <w:t xml:space="preserve">Optimize Manufacturing Energy:</w:t>
      </w:r>
      <w:r>
        <w:t xml:space="preserve"> </w:t>
      </w:r>
      <w:r>
        <w:t xml:space="preserve">Target 100% renewable energy usage in the China production facility to eliminate remaining Scope 2 emissions.</w:t>
      </w:r>
    </w:p>
    <w:p>
      <w:pPr>
        <w:numPr>
          <w:ilvl w:val="0"/>
          <w:numId w:val="1017"/>
        </w:numPr>
        <w:pStyle w:val="Compact"/>
      </w:pPr>
      <w:r>
        <w:rPr>
          <w:bCs/>
          <w:b/>
        </w:rPr>
        <w:t xml:space="preserve">Circular Economy Expansion:</w:t>
      </w:r>
      <w:r>
        <w:t xml:space="preserve"> </w:t>
      </w:r>
      <w:r>
        <w:t xml:space="preserve">Continue to invest in and expand circular/take-back programs, potentially increasing the recyclability percentage beyond 80% and exploring remanufacturing or repair schemes.</w:t>
      </w:r>
    </w:p>
    <w:p>
      <w:pPr>
        <w:numPr>
          <w:ilvl w:val="0"/>
          <w:numId w:val="1017"/>
        </w:numPr>
        <w:pStyle w:val="Compact"/>
      </w:pPr>
      <w:r>
        <w:rPr>
          <w:bCs/>
          <w:b/>
        </w:rPr>
        <w:t xml:space="preserve">Logistics Optimization:</w:t>
      </w:r>
      <w:r>
        <w:t xml:space="preserve"> </w:t>
      </w:r>
      <w:r>
        <w:t xml:space="preserve">Continuously optimize transport routes, modes (e.g., shifting from road to rail/ocean where feasible), and load factors to minimize transportation emissions.</w:t>
      </w:r>
    </w:p>
    <w:p>
      <w:r>
        <w:pict>
          <v:rect style="width:0;height:1.5pt" o:hralign="center" o:hrstd="t" o:hr="t"/>
        </w:pict>
      </w:r>
    </w:p>
    <w:p>
      <w:pPr>
        <w:pStyle w:val="FirstParagraph"/>
      </w:pPr>
      <w:r>
        <w:t xml:space="preserve">Confidential - Internal Use Only</w:t>
      </w:r>
    </w:p>
    <w:bookmarkEnd w:id="51"/>
    <w:bookmarkEnd w:id="5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towpuofxlq</dc:title>
  <dc:creator/>
  <dc:description>Detailed Product Carbon Footprint (PCF) analysis report for product towpuofxlq, following GHG Protocol standards and 2026 LSR updates.</dc:description>
  <dc:language>en</dc:language>
  <cp:keywords/>
  <dcterms:created xsi:type="dcterms:W3CDTF">2026-07-15T05:24:16Z</dcterms:created>
  <dcterms:modified xsi:type="dcterms:W3CDTF">2026-07-15T05:24:16Z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