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wonsiinlug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wonsiinlug</w:t>
      </w:r>
    </w:p>
    <w:p>
      <w:pPr>
        <w:pStyle w:val="BodyText"/>
      </w:pPr>
      <w:r>
        <w:rPr>
          <w:bCs/>
          <w:b/>
        </w:rPr>
        <w:t xml:space="preserve">Company Name:</w:t>
      </w:r>
      <w:r>
        <w:t xml:space="preserve"> </w:t>
      </w:r>
      <w:r>
        <w:t xml:space="preserve">tjgjmdnziz</w:t>
      </w:r>
    </w:p>
    <w:p>
      <w:pPr>
        <w:pStyle w:val="BodyText"/>
      </w:pPr>
      <w:r>
        <w:rPr>
          <w:bCs/>
          <w:b/>
        </w:rPr>
        <w:t xml:space="preserve">Senior Sustainability Consultant:</w:t>
      </w:r>
      <w:r>
        <w:t xml:space="preserve"> </w:t>
      </w:r>
      <w:r>
        <w:t xml:space="preserve">jquiomyqev</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 The calculations presented herein are illustrative and rely on the provided input parameters, some of which are non-numeric string values. Actual quantified emissions require specific numerical data inputs. This analysis serves to demonstrate the methodology and identify potential hotspots.</w:t>
      </w:r>
    </w:p>
    <w:bookmarkEnd w:id="20"/>
    <w:bookmarkStart w:id="21" w:name="Xf04b358bd76dfff06641bbccc6e25a0df35b128"/>
    <w:p>
      <w:pPr>
        <w:pStyle w:val="Heading1"/>
      </w:pPr>
      <w:r>
        <w:t xml:space="preserve">Product Carbon Footprint Analysis Report: wonsiinlug</w:t>
      </w:r>
    </w:p>
    <w:p>
      <w:pPr>
        <w:pStyle w:val="FirstParagraph"/>
      </w:pPr>
      <w:r>
        <w:t xml:space="preserve">Generated Date: May 17,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\'wonsiinlug\', manufactured by \'tjgjmdnziz\'. The analysis was conducted by \'jquiomyqev\', a Senior Sustainability Consultant, following the Greenhouse Gas (GHG) Protocol standards, including the 2026 Land Sector and Removals (LSR) Standard update and ensuring comprehensive Scope 3 coverage. The primary goal is to identify emission hotspots across the product\'s lifecycle, from raw material extraction to end-of-life, providing insights for strategic emissions reduction. Due to the nature of some provided parameters as non-numerical strings, the calculations presented are illustrative, demonstrating the methodology rather than providing definitive numerical totals without further quantitative data.</w:t>
      </w:r>
    </w:p>
    <w:p>
      <w:r>
        <w:pict>
          <v:rect style="width:0;height:1.5pt" o:hralign="center" o:hrstd="t" o:hr="t"/>
        </w:pict>
      </w:r>
    </w:p>
    <w:bookmarkEnd w:id="22"/>
    <w:bookmarkStart w:id="25" w:name="introduction"/>
    <w:p>
      <w:pPr>
        <w:pStyle w:val="Heading2"/>
      </w:pPr>
      <w:r>
        <w:t xml:space="preserve">1. Introduction</w:t>
      </w:r>
    </w:p>
    <w:bookmarkStart w:id="23" w:name="purpose-and-scope"/>
    <w:p>
      <w:pPr>
        <w:pStyle w:val="Heading3"/>
      </w:pPr>
      <w:r>
        <w:t xml:space="preserve">1.1 Purpose and Scope</w:t>
      </w:r>
    </w:p>
    <w:p>
      <w:pPr>
        <w:pStyle w:val="FirstParagraph"/>
      </w:pPr>
      <w:r>
        <w:t xml:space="preserve">The purpose of this Product Carbon Footprint (PCF) analysis is to quantify the greenhouse gas (GHG) emissions associated with the entire lifecycle of \'wonsiinlug\'. This assessment adheres to the principles and requirements of the GHG Protocol, specifically focusing on product-level accounting.</w:t>
      </w:r>
    </w:p>
    <w:p>
      <w:pPr>
        <w:numPr>
          <w:ilvl w:val="0"/>
          <w:numId w:val="1001"/>
        </w:numPr>
        <w:pStyle w:val="Compact"/>
      </w:pPr>
      <w:r>
        <w:rPr>
          <w:bCs/>
          <w:b/>
        </w:rPr>
        <w:t xml:space="preserve">Functional Unit:</w:t>
      </w:r>
      <w:r>
        <w:t xml:space="preserve"> </w:t>
      </w:r>
      <w:r>
        <w:t xml:space="preserve">The functional unit for this analysis is defined as 1.0 unit of \'wonsiinlug\'.</w:t>
      </w:r>
    </w:p>
    <w:p>
      <w:pPr>
        <w:numPr>
          <w:ilvl w:val="0"/>
          <w:numId w:val="1001"/>
        </w:numPr>
        <w:pStyle w:val="Compact"/>
      </w:pPr>
      <w:r>
        <w:rPr>
          <w:bCs/>
          <w:b/>
        </w:rPr>
        <w:t xml:space="preserve">System Boundary:</w:t>
      </w:r>
      <w:r>
        <w:t xml:space="preserve"> </w:t>
      </w:r>
      <w:r>
        <w:t xml:space="preserve">The system boundary is defined as "factory_gate", encompassing all upstream processes (raw material extraction, manufacturing of components) and the production process at the final assembly facility. Downstream stages, including transport to consumer, use phase, and end-of-life, are also considered for a comprehensive lifecycle view, aligning with the GHG Protocol\'s cradle-to-grave approach for product standards.</w:t>
      </w:r>
    </w:p>
    <w:p>
      <w:pPr>
        <w:numPr>
          <w:ilvl w:val="0"/>
          <w:numId w:val="1001"/>
        </w:numPr>
        <w:pStyle w:val="Compact"/>
      </w:pPr>
      <w:r>
        <w:rPr>
          <w:bCs/>
          <w:b/>
        </w:rPr>
        <w:t xml:space="preserve">Geographic Scope:</w:t>
      </w:r>
      <w:r>
        <w:t xml:space="preserve"> </w:t>
      </w:r>
      <w:r>
        <w:t xml:space="preserve">The final production country for \'wonsiinlug\' is China, with a specific focus on the supply chain primarily originating from Europe Focused regions.</w:t>
      </w:r>
    </w:p>
    <w:p>
      <w:pPr>
        <w:numPr>
          <w:ilvl w:val="0"/>
          <w:numId w:val="1001"/>
        </w:numPr>
        <w:pStyle w:val="Compact"/>
      </w:pPr>
      <w:r>
        <w:rPr>
          <w:bCs/>
          <w:b/>
        </w:rPr>
        <w:t xml:space="preserve">Allocation:</w:t>
      </w:r>
      <w:r>
        <w:t xml:space="preserve"> </w:t>
      </w:r>
      <w:r>
        <w:t xml:space="preserve">Where necessary, emissions have been allocated based on established industry practices and the GHG Protocol\'s guidance for multi-product systems.</w:t>
      </w:r>
    </w:p>
    <w:bookmarkEnd w:id="23"/>
    <w:bookmarkStart w:id="24" w:name="accounting-standard-and-updates"/>
    <w:p>
      <w:pPr>
        <w:pStyle w:val="Heading3"/>
      </w:pPr>
      <w:r>
        <w:t xml:space="preserve">1.2 Accounting Standard and Updates</w:t>
      </w:r>
    </w:p>
    <w:p>
      <w:pPr>
        <w:pStyle w:val="FirstParagraph"/>
      </w:pPr>
      <w:r>
        <w:t xml:space="preserve">This PCF analysis is conducted in strict accordance with the **GHG Protocol**. The methodology incorporates the latest updates, specifically:</w:t>
      </w:r>
    </w:p>
    <w:p>
      <w:pPr>
        <w:numPr>
          <w:ilvl w:val="0"/>
          <w:numId w:val="1002"/>
        </w:numPr>
        <w:pStyle w:val="Compact"/>
      </w:pPr>
      <w:r>
        <w:rPr>
          <w:bCs/>
          <w:b/>
        </w:rPr>
        <w:t xml:space="preserve">GHG Protocol Categorization:</w:t>
      </w:r>
      <w:r>
        <w:t xml:space="preserve"> </w:t>
      </w:r>
      <w:r>
        <w:t xml:space="preserve">Emissions are systematically categorized into Scope 1 (direct emissions from owned or controlled sources), Scope 2 (indirect emissions from the generation of purchased energy), and Scope 3 (all other indirect emissions that occur in the value chain of the reporting company).</w:t>
      </w:r>
    </w:p>
    <w:p>
      <w:pPr>
        <w:numPr>
          <w:ilvl w:val="0"/>
          <w:numId w:val="1002"/>
        </w:numPr>
        <w:pStyle w:val="Compact"/>
      </w:pPr>
      <w:r>
        <w:rPr>
          <w:bCs/>
          <w:b/>
        </w:rPr>
        <w:t xml:space="preserve">2026 LSR Update:</w:t>
      </w:r>
      <w:r>
        <w:t xml:space="preserve"> </w:t>
      </w:r>
      <w:r>
        <w:t xml:space="preserve">The Land Sector and Removals (LSR) Standard is applied to account for land use emissions and carbon removals. While specific land-use change data for each material was not provided as a numeric input, the methodology acknowledges and integrates the framework for future quantification when such data becomes available.</w:t>
      </w:r>
    </w:p>
    <w:p>
      <w:pPr>
        <w:numPr>
          <w:ilvl w:val="0"/>
          <w:numId w:val="1002"/>
        </w:numPr>
        <w:pStyle w:val="Compact"/>
      </w:pPr>
      <w:r>
        <w:rPr>
          <w:bCs/>
          <w:b/>
        </w:rPr>
        <w:t xml:space="preserve">Scope 3 Compliance:</w:t>
      </w:r>
      <w:r>
        <w:t xml:space="preserve"> </w:t>
      </w:r>
      <w:r>
        <w:t xml:space="preserve">In line with 2026 requirements, efforts have been made to ensure at least 95% coverage for Scope 3 reporting, reflecting the comprehensive nature of the value chain analysis.</w:t>
      </w:r>
    </w:p>
    <w:p>
      <w:r>
        <w:pict>
          <v:rect style="width:0;height:1.5pt" o:hralign="center" o:hrstd="t" o:hr="t"/>
        </w:pict>
      </w:r>
    </w:p>
    <w:bookmarkEnd w:id="24"/>
    <w:bookmarkEnd w:id="25"/>
    <w:bookmarkStart w:id="26" w:name="methodology"/>
    <w:p>
      <w:pPr>
        <w:pStyle w:val="Heading2"/>
      </w:pPr>
      <w:r>
        <w:t xml:space="preserve">2. Methodology</w:t>
      </w:r>
    </w:p>
    <w:p>
      <w:pPr>
        <w:pStyle w:val="FirstParagraph"/>
      </w:pPr>
      <w:r>
        <w:t xml:space="preserve">The PCF analysis follows a systematic five-step methodology as prescribed by leading sustainability frameworks:</w:t>
      </w:r>
    </w:p>
    <w:p>
      <w:pPr>
        <w:numPr>
          <w:ilvl w:val="0"/>
          <w:numId w:val="1003"/>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3"/>
        </w:numPr>
        <w:pStyle w:val="Compact"/>
      </w:pPr>
      <w:r>
        <w:rPr>
          <w:bCs/>
          <w:b/>
        </w:rPr>
        <w:t xml:space="preserve">Map Lifecycle:</w:t>
      </w:r>
      <w:r>
        <w:t xml:space="preserve"> </w:t>
      </w:r>
      <w:r>
        <w:t xml:space="preserve">Identification and mapping of all relevant lifecycle stages and associated processes (Life Cycle Inventory - LCI).</w:t>
      </w:r>
    </w:p>
    <w:p>
      <w:pPr>
        <w:numPr>
          <w:ilvl w:val="0"/>
          <w:numId w:val="1003"/>
        </w:numPr>
        <w:pStyle w:val="Compact"/>
      </w:pPr>
      <w:r>
        <w:rPr>
          <w:bCs/>
          <w:b/>
        </w:rPr>
        <w:t xml:space="preserve">Collect Data:</w:t>
      </w:r>
      <w:r>
        <w:t xml:space="preserve"> </w:t>
      </w:r>
      <w:r>
        <w:t xml:space="preserve">Gathering of primary data (e.g., energy consumption at production facilities) and secondary data (e.g., emission factors from databases).</w:t>
      </w:r>
    </w:p>
    <w:p>
      <w:pPr>
        <w:numPr>
          <w:ilvl w:val="0"/>
          <w:numId w:val="1003"/>
        </w:numPr>
        <w:pStyle w:val="Compact"/>
      </w:pPr>
      <w:r>
        <w:rPr>
          <w:bCs/>
          <w:b/>
        </w:rPr>
        <w:t xml:space="preserve">Calculate Emissions:</w:t>
      </w:r>
      <w:r>
        <w:t xml:space="preserve"> </w:t>
      </w:r>
      <w:r>
        <w:t xml:space="preserve">Quantification of GHG emissions by multiplying activity data by appropriate emission factors (Activity Data × Emission Factor = CO2e).</w:t>
      </w:r>
    </w:p>
    <w:p>
      <w:pPr>
        <w:numPr>
          <w:ilvl w:val="0"/>
          <w:numId w:val="1003"/>
        </w:numPr>
        <w:pStyle w:val="Compact"/>
      </w:pPr>
      <w:r>
        <w:rPr>
          <w:bCs/>
          <w:b/>
        </w:rPr>
        <w:t xml:space="preserve">Review &amp; Report:</w:t>
      </w:r>
      <w:r>
        <w:t xml:space="preserve"> </w:t>
      </w:r>
      <w:r>
        <w:t xml:space="preserve">Identification of emission hotspots, assessment of data reliability, and transparent reporting of findings.</w:t>
      </w:r>
    </w:p>
    <w:p>
      <w:r>
        <w:pict>
          <v:rect style="width:0;height:1.5pt" o:hralign="center" o:hrstd="t" o:hr="t"/>
        </w:pict>
      </w:r>
    </w:p>
    <w:bookmarkEnd w:id="26"/>
    <w:bookmarkStart w:id="32" w:name="lifecycle-inventory-lci-data-collection"/>
    <w:p>
      <w:pPr>
        <w:pStyle w:val="Heading2"/>
      </w:pPr>
      <w:r>
        <w:t xml:space="preserve">3. Lifecycle Inventory (LCI) &amp; Data Collection</w:t>
      </w:r>
    </w:p>
    <w:p>
      <w:pPr>
        <w:pStyle w:val="FirstParagraph"/>
      </w:pPr>
      <w:r>
        <w:t xml:space="preserve">This section details the critical inputs and data points collected for the PCF analysis of \'wonsiinlug\'.</w:t>
      </w:r>
    </w:p>
    <w:bookmarkStart w:id="27" w:name="detailed-bill-of-materials-bom"/>
    <w:p>
      <w:pPr>
        <w:pStyle w:val="Heading3"/>
      </w:pPr>
      <w:r>
        <w:t xml:space="preserve">3.1 Detailed Bill of Materials (BOM)</w:t>
      </w:r>
    </w:p>
    <w:p>
      <w:pPr>
        <w:pStyle w:val="FirstParagraph"/>
      </w:pPr>
      <w:r>
        <w:t xml:space="preserve">The high-accuracy material impact calculation for \'wonsiinlug\' is based on the provided Detailed Bill of Materials:</w:t>
      </w:r>
      <w:r>
        <w:t xml:space="preserve"> </w:t>
      </w:r>
      <w:r>
        <w:rPr>
          <w:bCs/>
          <w:b/>
        </w:rPr>
        <w:t xml:space="preserve">nfzfxnsn</w:t>
      </w:r>
      <w:r>
        <w:t xml:space="preserve">. While the specific numerical data for \'nfzfxnsn\' was not provided in a parseable format, the structure and methodology adhere to its specified format (ID, Description, Category, Process, Qty, Unit, Emission Factor, Total Carbon). For illustrative purposes in calculation demonstrations, a representative BOM based on this format is used below:</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(kgCO2e/unit)</w:t>
            </w:r>
          </w:p>
        </w:tc>
        <w:tc>
          <w:tcPr/>
          <w:p>
            <w:pPr>
              <w:pStyle w:val="Compact"/>
              <w:jc w:val="left"/>
            </w:pPr>
            <w:r>
              <w:t xml:space="preserve">Illustrative 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Moulding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2</w:t>
            </w:r>
          </w:p>
        </w:tc>
        <w:tc>
          <w:tcPr/>
          <w:p>
            <w:pPr>
              <w:pStyle w:val="Compact"/>
              <w:jc w:val="left"/>
            </w:pPr>
            <w:r>
              <w:t xml:space="preserve">Circuit Board Assembly</w:t>
            </w:r>
          </w:p>
        </w:tc>
        <w:tc>
          <w:tcPr/>
          <w:p>
            <w:pPr>
              <w:pStyle w:val="Compact"/>
              <w:jc w:val="left"/>
            </w:pPr>
            <w:r>
              <w:t xml:space="preserve">Electronics</w:t>
            </w:r>
          </w:p>
        </w:tc>
        <w:tc>
          <w:tcPr/>
          <w:p>
            <w:pPr>
              <w:pStyle w:val="Compact"/>
              <w:jc w:val="left"/>
            </w:pPr>
            <w:r>
              <w:t xml:space="preserve">Manufacturing &amp; 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w:t>
            </w:r>
          </w:p>
        </w:tc>
      </w:tr>
      <w:tr>
        <w:tc>
          <w:tcPr/>
          <w:p>
            <w:pPr>
              <w:pStyle w:val="Compact"/>
              <w:jc w:val="left"/>
            </w:pPr>
            <w:r>
              <w:t xml:space="preserve">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4</w:t>
            </w:r>
          </w:p>
        </w:tc>
        <w:tc>
          <w:tcPr/>
          <w:p>
            <w:pPr>
              <w:pStyle w:val="Compact"/>
              <w:jc w:val="left"/>
            </w:pPr>
            <w:r>
              <w:t xml:space="preserve">Lithium-ion Battery Pack</w:t>
            </w:r>
          </w:p>
        </w:tc>
        <w:tc>
          <w:tcPr/>
          <w:p>
            <w:pPr>
              <w:pStyle w:val="Compact"/>
              <w:jc w:val="left"/>
            </w:pPr>
            <w:r>
              <w:t xml:space="preserve">Battery</w:t>
            </w:r>
          </w:p>
        </w:tc>
        <w:tc>
          <w:tcPr/>
          <w:p>
            <w:pPr>
              <w:pStyle w:val="Compact"/>
              <w:jc w:val="left"/>
            </w:pPr>
            <w:r>
              <w:t xml:space="preserve">Manufacturing &amp; 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1.0</w:t>
            </w:r>
          </w:p>
        </w:tc>
      </w:tr>
      <w:tr>
        <w:tc>
          <w:tcPr/>
          <w:p>
            <w:pPr>
              <w:pStyle w:val="Compact"/>
              <w:jc w:val="left"/>
            </w:pPr>
            <w:r>
              <w:t xml:space="preserve">5</w:t>
            </w:r>
          </w:p>
        </w:tc>
        <w:tc>
          <w:tcPr/>
          <w:p>
            <w:pPr>
              <w:pStyle w:val="Compact"/>
              <w:jc w:val="left"/>
            </w:pPr>
            <w:r>
              <w:t xml:space="preserve">Product Packaging</w:t>
            </w:r>
          </w:p>
        </w:tc>
        <w:tc>
          <w:tcPr/>
          <w:p>
            <w:pPr>
              <w:pStyle w:val="Compact"/>
              <w:jc w:val="left"/>
            </w:pPr>
            <w:r>
              <w:t xml:space="preserve">Paper/Cardboard</w:t>
            </w:r>
          </w:p>
        </w:tc>
        <w:tc>
          <w:tcPr/>
          <w:p>
            <w:pPr>
              <w:pStyle w:val="Compact"/>
              <w:jc w:val="left"/>
            </w:pPr>
            <w:r>
              <w:t xml:space="preserve">Pulping &amp; 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gridSpan w:val="7"/>
          </w:tcPr>
          <w:p>
            <w:pPr>
              <w:pStyle w:val="Compact"/>
              <w:jc w:val="right"/>
            </w:pPr>
            <w:r>
              <w:rPr>
                <w:bCs/>
                <w:b/>
              </w:rPr>
              <w:t xml:space="preserve">Total Illustrative Material Carbon:</w:t>
            </w:r>
          </w:p>
        </w:tc>
        <w:tc>
          <w:tcPr/>
          <w:p>
            <w:pPr>
              <w:pStyle w:val="Compact"/>
              <w:jc w:val="left"/>
            </w:pPr>
            <w:r>
              <w:rPr>
                <w:bCs/>
                <w:b/>
              </w:rPr>
              <w:t xml:space="preserve">2.8 kgCO2e</w:t>
            </w:r>
          </w:p>
        </w:tc>
      </w:tr>
    </w:tbl>
    <w:p>
      <w:pPr>
        <w:pStyle w:val="BodyText"/>
      </w:pPr>
      <w:r>
        <w:rPr>
          <w:iCs/>
          <w:i/>
        </w:rPr>
        <w:t xml:space="preserve">Note: The "Illustrative Emission Factor" and "Illustrative Total Carbon" values are provided for methodological demonstration and would be replaced with specific data from the provided \'nfzfxnsn\' BOM and relevant databases (e.g., Ecoinvent, DEFRA) for a quantified PCF.</w:t>
      </w:r>
    </w:p>
    <w:bookmarkEnd w:id="27"/>
    <w:bookmarkStart w:id="28" w:name="energy-inputs-production-phase"/>
    <w:p>
      <w:pPr>
        <w:pStyle w:val="Heading3"/>
      </w:pPr>
      <w:r>
        <w:t xml:space="preserve">3.2 Energy Inputs (Production Phase)</w:t>
      </w:r>
    </w:p>
    <w:p>
      <w:pPr>
        <w:pStyle w:val="FirstParagraph"/>
      </w:pPr>
      <w:r>
        <w:t xml:space="preserve">The energy profile for the production phase of \'wonsiinlug\' at the China manufacturing facility is critical for calculating Scope 2 emissions.</w:t>
      </w:r>
    </w:p>
    <w:p>
      <w:pPr>
        <w:numPr>
          <w:ilvl w:val="0"/>
          <w:numId w:val="1004"/>
        </w:numPr>
        <w:pStyle w:val="Compact"/>
      </w:pPr>
      <w:r>
        <w:rPr>
          <w:bCs/>
          <w:b/>
        </w:rPr>
        <w:t xml:space="preserve">Renewable Energy Usage:</w:t>
      </w:r>
      <w:r>
        <w:t xml:space="preserve"> </w:t>
      </w:r>
      <w:r>
        <w:rPr>
          <w:bCs/>
          <w:b/>
        </w:rPr>
        <w:t xml:space="preserve">zulideqleo</w:t>
      </w:r>
      <w:r>
        <w:t xml:space="preserve">. This parameter indicates the percentage of renewable energy utilized in the production process.</w:t>
      </w:r>
    </w:p>
    <w:p>
      <w:pPr>
        <w:numPr>
          <w:ilvl w:val="0"/>
          <w:numId w:val="1004"/>
        </w:numPr>
        <w:pStyle w:val="Compact"/>
      </w:pPr>
      <w:r>
        <w:rPr>
          <w:bCs/>
          <w:b/>
        </w:rPr>
        <w:t xml:space="preserve">Energy Intensity (kWh/unit):</w:t>
      </w:r>
      <w:r>
        <w:t xml:space="preserve"> </w:t>
      </w:r>
      <w:r>
        <w:rPr>
          <w:bCs/>
          <w:b/>
        </w:rPr>
        <w:t xml:space="preserve">ufwmjflyon</w:t>
      </w:r>
      <w:r>
        <w:t xml:space="preserve">. This represents the total energy consumed per functional unit during the manufacturing process.</w:t>
      </w:r>
    </w:p>
    <w:p>
      <w:pPr>
        <w:pStyle w:val="FirstParagraph"/>
      </w:pPr>
      <w:r>
        <w:t xml:space="preserve">For calculations, if \'zulideqleo\' is \'50%\' and \'ufwmjflyon\' is \'2.5 kWh/unit\', and assuming a non-renewable grid mix emission factor of 0.6 kgCO2e/kWh (China average), the calculation would proceed as:</w:t>
      </w:r>
    </w:p>
    <w:p>
      <w:pPr>
        <w:pStyle w:val="BodyText"/>
      </w:pPr>
      <w:r>
        <w:t xml:space="preserve">Illustrative Non-Renewable Energy Consumption = ufwmjflyon * (1 - zulideqleo) = 2.5 kWh/unit * (1 - 0.50) = 1.25 kWh/unit</w:t>
      </w:r>
    </w:p>
    <w:p>
      <w:pPr>
        <w:pStyle w:val="BodyText"/>
      </w:pPr>
      <w:r>
        <w:t xml:space="preserve">Illustrative Production Energy Emissions = 1.25 kWh/unit * 0.6 kgCO2e/kWh = 0.75 kgCO2e/unit</w:t>
      </w:r>
    </w:p>
    <w:bookmarkEnd w:id="28"/>
    <w:bookmarkStart w:id="29" w:name="logistics-data-supply-chain-analysis"/>
    <w:p>
      <w:pPr>
        <w:pStyle w:val="Heading3"/>
      </w:pPr>
      <w:r>
        <w:t xml:space="preserve">3.3 Logistics Data (Supply Chain Analysis)</w:t>
      </w:r>
    </w:p>
    <w:p>
      <w:pPr>
        <w:pStyle w:val="FirstParagraph"/>
      </w:pPr>
      <w:r>
        <w:t xml:space="preserve">Transportation plays a significant role in Scope 3 emissions. The following logistics data has been incorporated:</w:t>
      </w:r>
    </w:p>
    <w:p>
      <w:pPr>
        <w:numPr>
          <w:ilvl w:val="0"/>
          <w:numId w:val="1005"/>
        </w:numPr>
        <w:pStyle w:val="Compact"/>
      </w:pPr>
      <w:r>
        <w:rPr>
          <w:bCs/>
          <w:b/>
        </w:rPr>
        <w:t xml:space="preserve">Transport Mode:</w:t>
      </w:r>
      <w:r>
        <w:t xml:space="preserve"> </w:t>
      </w:r>
      <w:r>
        <w:rPr>
          <w:bCs/>
          <w:b/>
        </w:rPr>
        <w:t xml:space="preserve">Select Mode</w:t>
      </w:r>
      <w:r>
        <w:t xml:space="preserve">. (e.g., assumed to be \'Road Freight\' for demonstration).</w:t>
      </w:r>
    </w:p>
    <w:p>
      <w:pPr>
        <w:numPr>
          <w:ilvl w:val="0"/>
          <w:numId w:val="1005"/>
        </w:numPr>
        <w:pStyle w:val="Compact"/>
      </w:pPr>
      <w:r>
        <w:rPr>
          <w:bCs/>
          <w:b/>
        </w:rPr>
        <w:t xml:space="preserve">Transport Distance:</w:t>
      </w:r>
      <w:r>
        <w:t xml:space="preserve"> </w:t>
      </w:r>
      <w:r>
        <w:rPr>
          <w:bCs/>
          <w:b/>
        </w:rPr>
        <w:t xml:space="preserve">ffqneopkyz</w:t>
      </w:r>
      <w:r>
        <w:t xml:space="preserve">. (e.g., assumed to be \'500 km\' for demonstration).</w:t>
      </w:r>
    </w:p>
    <w:p>
      <w:pPr>
        <w:numPr>
          <w:ilvl w:val="0"/>
          <w:numId w:val="1005"/>
        </w:numPr>
        <w:pStyle w:val="Compact"/>
      </w:pPr>
      <w:r>
        <w:rPr>
          <w:bCs/>
          <w:b/>
        </w:rPr>
        <w:t xml:space="preserve">Last-Mile Delivery Channel:</w:t>
      </w:r>
      <w:r>
        <w:t xml:space="preserve"> </w:t>
      </w:r>
      <w:r>
        <w:rPr>
          <w:bCs/>
          <w:b/>
        </w:rPr>
        <w:t xml:space="preserve">Delivery Type</w:t>
      </w:r>
      <w:r>
        <w:t xml:space="preserve">. (e.g., assumed to be \'Parcel Delivery Van\' for demonstration).</w:t>
      </w:r>
    </w:p>
    <w:p>
      <w:pPr>
        <w:pStyle w:val="FirstParagraph"/>
      </w:pPr>
      <w:r>
        <w:t xml:space="preserve">Using an illustrative emission factor for Road Freight (Heavy Duty Truck) of 0.1 kgCO2e/tonne-km and assuming a product weight of 0.5 kg (0.0005 tonnes), and \'ffqneopkyz\' as \'500 km\':</w:t>
      </w:r>
    </w:p>
    <w:p>
      <w:pPr>
        <w:pStyle w:val="BodyText"/>
      </w:pPr>
      <w:r>
        <w:t xml:space="preserve">Illustrative Transport Emissions = 0.0005 tonnes * 500 km * 0.1 kgCO2e/tonne-km = 0.025 kgCO2e</w:t>
      </w:r>
    </w:p>
    <w:bookmarkEnd w:id="29"/>
    <w:bookmarkStart w:id="30" w:name="use-phase-data"/>
    <w:p>
      <w:pPr>
        <w:pStyle w:val="Heading3"/>
      </w:pPr>
      <w:r>
        <w:t xml:space="preserve">3.4 Use Phase Data</w:t>
      </w:r>
    </w:p>
    <w:p>
      <w:pPr>
        <w:pStyle w:val="FirstParagraph"/>
      </w:pPr>
      <w:r>
        <w:t xml:space="preserve">The use phase can be a significant contributor to the overall PCF, particularly for energy-consuming products.</w:t>
      </w:r>
    </w:p>
    <w:p>
      <w:pPr>
        <w:numPr>
          <w:ilvl w:val="0"/>
          <w:numId w:val="1006"/>
        </w:numPr>
        <w:pStyle w:val="Compact"/>
      </w:pPr>
      <w:r>
        <w:rPr>
          <w:bCs/>
          <w:b/>
        </w:rPr>
        <w:t xml:space="preserve">Product Lifespan:</w:t>
      </w:r>
      <w:r>
        <w:t xml:space="preserve"> </w:t>
      </w:r>
      <w:r>
        <w:rPr>
          <w:bCs/>
          <w:b/>
        </w:rPr>
        <w:t xml:space="preserve">fqywzxekeq</w:t>
      </w:r>
      <w:r>
        <w:t xml:space="preserve">. (e.g., assumed to be \'5 years\' for demonstration).</w:t>
      </w:r>
    </w:p>
    <w:p>
      <w:pPr>
        <w:numPr>
          <w:ilvl w:val="0"/>
          <w:numId w:val="1006"/>
        </w:numPr>
        <w:pStyle w:val="Compact"/>
      </w:pPr>
      <w:r>
        <w:rPr>
          <w:bCs/>
          <w:b/>
        </w:rPr>
        <w:t xml:space="preserve">Energy Consumption in Use:</w:t>
      </w:r>
      <w:r>
        <w:t xml:space="preserve"> </w:t>
      </w:r>
      <w:r>
        <w:rPr>
          <w:bCs/>
          <w:b/>
        </w:rPr>
        <w:t xml:space="preserve">snfkzvdwpd</w:t>
      </w:r>
      <w:r>
        <w:t xml:space="preserve">. This refers to the energy consumed by the product during its operational lifetime. (e.g., assumed to be \'10 kWh/year\' for demonstration).</w:t>
      </w:r>
    </w:p>
    <w:p>
      <w:pPr>
        <w:pStyle w:val="FirstParagraph"/>
      </w:pPr>
      <w:r>
        <w:t xml:space="preserve">Assuming \'fqywzxekeq\' is \'5 years\' and \'snfkzvdwpd\' is \'10 kWh/year\', with an average global grid mix emission factor of 0.4 kgCO2e/kWh for consumer use:</w:t>
      </w:r>
    </w:p>
    <w:p>
      <w:pPr>
        <w:pStyle w:val="BodyText"/>
      </w:pPr>
      <w:r>
        <w:t xml:space="preserve">Illustrative Total Use Phase Energy Consumption = 10 kWh/year * 5 years = 50 kWh</w:t>
      </w:r>
    </w:p>
    <w:p>
      <w:pPr>
        <w:pStyle w:val="BodyText"/>
      </w:pPr>
      <w:r>
        <w:t xml:space="preserve">Illustrative Use Phase Emissions = 50 kWh * 0.4 kgCO2e/kWh = 20.0 kgCO2e</w:t>
      </w:r>
    </w:p>
    <w:bookmarkEnd w:id="30"/>
    <w:bookmarkStart w:id="31" w:name="end-of-life-eol-scenarios"/>
    <w:p>
      <w:pPr>
        <w:pStyle w:val="Heading3"/>
      </w:pPr>
      <w:r>
        <w:t xml:space="preserve">3.5 End-of-Life (EoL) Scenarios</w:t>
      </w:r>
    </w:p>
    <w:p>
      <w:pPr>
        <w:pStyle w:val="FirstParagraph"/>
      </w:pPr>
      <w:r>
        <w:t xml:space="preserve">End-of-life management strategies directly influence the circular economy impact and associated emissions/reductions.</w:t>
      </w:r>
    </w:p>
    <w:p>
      <w:pPr>
        <w:numPr>
          <w:ilvl w:val="0"/>
          <w:numId w:val="1007"/>
        </w:numPr>
        <w:pStyle w:val="Compact"/>
      </w:pPr>
      <w:r>
        <w:rPr>
          <w:bCs/>
          <w:b/>
        </w:rPr>
        <w:t xml:space="preserve">Recyclability Percentage:</w:t>
      </w:r>
      <w:r>
        <w:t xml:space="preserve"> </w:t>
      </w:r>
      <w:r>
        <w:rPr>
          <w:bCs/>
          <w:b/>
        </w:rPr>
        <w:t xml:space="preserve">jsmetmevyj</w:t>
      </w:r>
      <w:r>
        <w:t xml:space="preserve">. (e.g., assumed to be \'70%\' for demonstration).</w:t>
      </w:r>
    </w:p>
    <w:p>
      <w:pPr>
        <w:numPr>
          <w:ilvl w:val="0"/>
          <w:numId w:val="1007"/>
        </w:numPr>
        <w:pStyle w:val="Compact"/>
      </w:pPr>
      <w:r>
        <w:rPr>
          <w:bCs/>
          <w:b/>
        </w:rPr>
        <w:t xml:space="preserve">Circular/Take-back Programs:</w:t>
      </w:r>
      <w:r>
        <w:t xml:space="preserve"> </w:t>
      </w:r>
      <w:r>
        <w:rPr>
          <w:bCs/>
          <w:b/>
        </w:rPr>
        <w:t xml:space="preserve">eunqrexltr</w:t>
      </w:r>
      <w:r>
        <w:t xml:space="preserve">. This indicates the presence and nature of programs for product recovery.</w:t>
      </w:r>
    </w:p>
    <w:p>
      <w:pPr>
        <w:pStyle w:val="FirstParagraph"/>
      </w:pPr>
      <w:r>
        <w:t xml:space="preserve">A high recyclability percentage like \'jsmetmevyj\' (\'70%\') combined with active \'eunqrexltr\' (e.g., \'Product Take-back Program\') can lead to significant avoided emissions from virgin material production. The calculation would typically involve comparing emissions from recycling with those from disposal (landfilling/incineration) and virgin production, using specific emission factors for each scenario.</w:t>
      </w:r>
    </w:p>
    <w:p>
      <w:r>
        <w:pict>
          <v:rect style="width:0;height:1.5pt" o:hralign="center" o:hrstd="t" o:hr="t"/>
        </w:pict>
      </w:r>
    </w:p>
    <w:bookmarkEnd w:id="31"/>
    <w:bookmarkEnd w:id="32"/>
    <w:bookmarkStart w:id="42" w:name="emission-calculation"/>
    <w:p>
      <w:pPr>
        <w:pStyle w:val="Heading2"/>
      </w:pPr>
      <w:r>
        <w:t xml:space="preserve">4. Emission Calculation</w:t>
      </w:r>
    </w:p>
    <w:p>
      <w:pPr>
        <w:pStyle w:val="FirstParagraph"/>
      </w:pPr>
      <w:r>
        <w:t xml:space="preserve">This section outlines the calculation methodology for GHG emissions, categorized by GHG Protocol scopes.</w:t>
      </w:r>
    </w:p>
    <w:bookmarkStart w:id="33" w:name="scope-1-direct-emissions"/>
    <w:p>
      <w:pPr>
        <w:pStyle w:val="Heading3"/>
      </w:pPr>
      <w:r>
        <w:t xml:space="preserve">4.1 Scope 1: Direct Emissions</w:t>
      </w:r>
    </w:p>
    <w:p>
      <w:pPr>
        <w:pStyle w:val="FirstParagraph"/>
      </w:pPr>
      <w:r>
        <w:t xml:space="preserve">Scope 1 emissions arise from sources owned or controlled by tjgjmdnziz within its operational boundary. For a "factory_gate" system boundary focusing on product PCF, these typically include direct fuel combustion in manufacturing processes (e.g., boilers, owned vehicles) not directly attributed to energy generation for the product, and process emissions from chemical reactions inherent in product manufacturing.</w:t>
      </w:r>
    </w:p>
    <w:p>
      <w:pPr>
        <w:pStyle w:val="BodyText"/>
      </w:pPr>
      <w:r>
        <w:rPr>
          <w:iCs/>
          <w:i/>
        </w:rPr>
        <w:t xml:space="preserve">Due to the product-specific nature of this PCF and without explicit direct operational data for the manufacturing of \'wonsiinlug\' (beyond purchased energy), Scope 1 emissions are considered negligible or incorporated within the overall production energy intensity if fuels are used for purchased energy generation, or are captured under Scope 3 if related to materials production by upstream suppliers. For a standalone facility report, these would be quantified.</w:t>
      </w:r>
    </w:p>
    <w:bookmarkEnd w:id="33"/>
    <w:bookmarkStart w:id="34" w:name="scope-2-purchased-energy-emissions"/>
    <w:p>
      <w:pPr>
        <w:pStyle w:val="Heading3"/>
      </w:pPr>
      <w:r>
        <w:t xml:space="preserve">4.2 Scope 2: Purchased Energy Emissions</w:t>
      </w:r>
    </w:p>
    <w:p>
      <w:pPr>
        <w:pStyle w:val="FirstParagraph"/>
      </w:pPr>
      <w:r>
        <w:t xml:space="preserve">Scope 2 emissions result from the generation of purchased electricity, heat, or steam consumed by tjgjmdnziz in the production of \'wonsiinlug\'.</w:t>
      </w:r>
    </w:p>
    <w:p>
      <w:pPr>
        <w:pStyle w:val="BodyText"/>
      </w:pPr>
      <w:r>
        <w:rPr>
          <w:bCs/>
          <w:b/>
        </w:rPr>
        <w:t xml:space="preserve">Calculation:</w:t>
      </w:r>
    </w:p>
    <w:p>
      <w:pPr>
        <w:pStyle w:val="BodyText"/>
      </w:pPr>
      <w:r>
        <w:t xml:space="preserve">Illustrative Scope 2 Emissions = Energy Intensity (ufwmjflyon) × (1 - Renewable Energy Usage (zulideqleo)) × Grid Emission Factor (China)</w:t>
      </w:r>
    </w:p>
    <w:p>
      <w:pPr>
        <w:pStyle w:val="BodyText"/>
      </w:pPr>
      <w:r>
        <w:t xml:space="preserve">Using illustrative numerical values from Section 3.2:</w:t>
      </w:r>
    </w:p>
    <w:p>
      <w:pPr>
        <w:pStyle w:val="BodyText"/>
      </w:pPr>
      <w:r>
        <w:t xml:space="preserve">Illustrative Scope 2 Emissions = 2.5 kWh/unit × (1 - 0.50) × 0.6 kgCO2e/kWh = 0.75 kgCO2e/unit</w:t>
      </w:r>
    </w:p>
    <w:bookmarkEnd w:id="34"/>
    <w:bookmarkStart w:id="39" w:name="scope-3-value-chain-emissions"/>
    <w:p>
      <w:pPr>
        <w:pStyle w:val="Heading3"/>
      </w:pPr>
      <w:r>
        <w:t xml:space="preserve">4.3 Scope 3: Value Chain Emissions</w:t>
      </w:r>
    </w:p>
    <w:p>
      <w:pPr>
        <w:pStyle w:val="FirstParagraph"/>
      </w:pPr>
      <w:r>
        <w:t xml:space="preserve">Scope 3 emissions cover all other indirect emissions from the value chain, both upstream and downstream. Achieving at least 95% coverage as per 2026 requirements is paramount for robust reporting. This analysis extensively covers the relevant Scope 3 categories for \'wonsiinlug\'.</w:t>
      </w:r>
    </w:p>
    <w:bookmarkStart w:id="35" w:name="Xab9729a0caae076ca89f2f71668734f92723cf2"/>
    <w:p>
      <w:pPr>
        <w:pStyle w:val="Heading4"/>
      </w:pPr>
      <w:r>
        <w:t xml:space="preserve">4.3.1 Category 1: Purchased Goods and Services (Materials)</w:t>
      </w:r>
    </w:p>
    <w:p>
      <w:pPr>
        <w:pStyle w:val="FirstParagraph"/>
      </w:pPr>
      <w:r>
        <w:t xml:space="preserve">Emissions from the production of all raw materials and components detailed in the provided BOM (</w:t>
      </w:r>
      <w:r>
        <w:rPr>
          <w:bCs/>
          <w:b/>
        </w:rPr>
        <w:t xml:space="preserve">nfzfxnsn</w:t>
      </w:r>
      <w:r>
        <w:t xml:space="preserve">) are included here. These are calculated by multiplying the quantity of each material by its respective emission factor (e.g., from Ecoinvent or DEFRA databases).</w:t>
      </w:r>
    </w:p>
    <w:p>
      <w:pPr>
        <w:pStyle w:val="BodyText"/>
      </w:pPr>
      <w:r>
        <w:rPr>
          <w:bCs/>
          <w:b/>
        </w:rPr>
        <w:t xml:space="preserve">Calculation:</w:t>
      </w:r>
    </w:p>
    <w:p>
      <w:pPr>
        <w:pStyle w:val="BodyText"/>
      </w:pPr>
      <w:r>
        <w:t xml:space="preserve">Illustrative Material Emissions = ∑ (Qty</w:t>
      </w:r>
      <w:r>
        <w:rPr>
          <w:vertAlign w:val="subscript"/>
        </w:rPr>
        <w:t xml:space="preserve">i</w:t>
      </w:r>
      <w:r>
        <w:t xml:space="preserve"> </w:t>
      </w:r>
      <w:r>
        <w:t xml:space="preserve">× Emission Factor</w:t>
      </w:r>
      <w:r>
        <w:rPr>
          <w:vertAlign w:val="subscript"/>
        </w:rPr>
        <w:t xml:space="preserve">i</w:t>
      </w:r>
      <w:r>
        <w:t xml:space="preserve">) for each item \'i\' in</w:t>
      </w:r>
      <w:r>
        <w:t xml:space="preserve"> </w:t>
      </w:r>
      <w:r>
        <w:rPr>
          <w:bCs/>
          <w:b/>
        </w:rPr>
        <w:t xml:space="preserve">nfzfxnsn</w:t>
      </w:r>
      <w:r>
        <w:t xml:space="preserve"> </w:t>
      </w:r>
      <w:r>
        <w:t xml:space="preserve">BOM.</w:t>
      </w:r>
    </w:p>
    <w:p>
      <w:pPr>
        <w:pStyle w:val="BodyText"/>
      </w:pPr>
      <w:r>
        <w:t xml:space="preserve">Based on the illustrative BOM data in Section 3.1:</w:t>
      </w:r>
      <w:r>
        <w:t xml:space="preserve"> </w:t>
      </w:r>
      <w:r>
        <w:rPr>
          <w:bCs/>
          <w:b/>
        </w:rPr>
        <w:t xml:space="preserve">2.8 kgCO2e/unit</w:t>
      </w:r>
    </w:p>
    <w:bookmarkEnd w:id="35"/>
    <w:bookmarkStart w:id="36" w:name="Xe89e0a56fad43ffa0ef954ec8eb4af10b66d99f"/>
    <w:p>
      <w:pPr>
        <w:pStyle w:val="Heading4"/>
      </w:pPr>
      <w:r>
        <w:t xml:space="preserve">4.3.2 Category 4 &amp; 9: Transportation and Distribution (Upstream &amp; Downstream)</w:t>
      </w:r>
    </w:p>
    <w:p>
      <w:pPr>
        <w:pStyle w:val="FirstParagraph"/>
      </w:pPr>
      <w:r>
        <w:t xml:space="preserve">This includes emissions from all transportation activities for raw materials, components (upstream), and the final product delivery (downstream).</w:t>
      </w:r>
    </w:p>
    <w:p>
      <w:pPr>
        <w:pStyle w:val="BodyText"/>
      </w:pPr>
      <w:r>
        <w:rPr>
          <w:bCs/>
          <w:b/>
        </w:rPr>
        <w:t xml:space="preserve">Calculation:</w:t>
      </w:r>
    </w:p>
    <w:p>
      <w:pPr>
        <w:pStyle w:val="BodyText"/>
      </w:pPr>
      <w:r>
        <w:t xml:space="preserve">Illustrative Transport Emissions (per unit) = (Transport Weight × Transport Distance (ffqneopkyz) × Emission Factor</w:t>
      </w:r>
      <w:r>
        <w:rPr>
          <w:vertAlign w:val="subscript"/>
        </w:rPr>
        <w:t xml:space="preserve">Mode</w:t>
      </w:r>
      <w:r>
        <w:t xml:space="preserve">) + (Delivery Weight × Delivery Distance × Emission Factor</w:t>
      </w:r>
      <w:r>
        <w:rPr>
          <w:vertAlign w:val="subscript"/>
        </w:rPr>
        <w:t xml:space="preserve">Delivery Type</w:t>
      </w:r>
      <w:r>
        <w:t xml:space="preserve">)</w:t>
      </w:r>
    </w:p>
    <w:p>
      <w:pPr>
        <w:pStyle w:val="BodyText"/>
      </w:pPr>
      <w:r>
        <w:t xml:space="preserve">Using illustrative values from Section 3.3 for one leg of transport:</w:t>
      </w:r>
    </w:p>
    <w:p>
      <w:pPr>
        <w:pStyle w:val="BodyText"/>
      </w:pPr>
      <w:r>
        <w:t xml:space="preserve">Illustrative Transport Emissions = 0.0005 tonnes × 500 km × 0.1 kgCO2e/tonne-km = 0.025 kgCO2e</w:t>
      </w:r>
    </w:p>
    <w:p>
      <w:pPr>
        <w:pStyle w:val="BodyText"/>
      </w:pPr>
      <w:r>
        <w:t xml:space="preserve">A full assessment would include all legs of the supply chain, considering "Select Mode" and "Delivery Type" for each relevant segment.</w:t>
      </w:r>
    </w:p>
    <w:bookmarkEnd w:id="36"/>
    <w:bookmarkStart w:id="37" w:name="category-11-use-of-sold-products"/>
    <w:p>
      <w:pPr>
        <w:pStyle w:val="Heading4"/>
      </w:pPr>
      <w:r>
        <w:t xml:space="preserve">4.3.3 Category 11: Use of Sold Products</w:t>
      </w:r>
    </w:p>
    <w:p>
      <w:pPr>
        <w:pStyle w:val="FirstParagraph"/>
      </w:pPr>
      <w:r>
        <w:t xml:space="preserve">Emissions generated during the entire lifespan of \'wonsiinlug\' as it is used by the consumer are included.</w:t>
      </w:r>
    </w:p>
    <w:p>
      <w:pPr>
        <w:pStyle w:val="BodyText"/>
      </w:pPr>
      <w:r>
        <w:rPr>
          <w:bCs/>
          <w:b/>
        </w:rPr>
        <w:t xml:space="preserve">Calculation:</w:t>
      </w:r>
    </w:p>
    <w:p>
      <w:pPr>
        <w:pStyle w:val="BodyText"/>
      </w:pPr>
      <w:r>
        <w:t xml:space="preserve">Illustrative Use Phase Emissions = Energy Consumption in Use (snfkzvdwpd) × Product Lifespan (fqywzxekeq) × Grid Emission Factor (average for use region)</w:t>
      </w:r>
    </w:p>
    <w:p>
      <w:pPr>
        <w:pStyle w:val="BodyText"/>
      </w:pPr>
      <w:r>
        <w:t xml:space="preserve">Using illustrative values from Section 3.4:</w:t>
      </w:r>
    </w:p>
    <w:p>
      <w:pPr>
        <w:pStyle w:val="BodyText"/>
      </w:pPr>
      <w:r>
        <w:t xml:space="preserve">Illustrative Use Phase Emissions = 10 kWh/year × 5 years × 0.4 kgCO2e/kWh = 20.0 kgCO2e/unit</w:t>
      </w:r>
    </w:p>
    <w:bookmarkEnd w:id="37"/>
    <w:bookmarkStart w:id="38" w:name="X9f66eef2700632e081dfe139021cb724ffcd2c5"/>
    <w:p>
      <w:pPr>
        <w:pStyle w:val="Heading4"/>
      </w:pPr>
      <w:r>
        <w:t xml:space="preserve">4.3.4 Category 12: End-of-Life Treatment of Sold Products</w:t>
      </w:r>
    </w:p>
    <w:p>
      <w:pPr>
        <w:pStyle w:val="FirstParagraph"/>
      </w:pPr>
      <w:r>
        <w:t xml:space="preserve">Emissions (or avoided emissions) from the disposal, recycling, or recovery of \'wonsiinlug\' at the end of its useful life.</w:t>
      </w:r>
    </w:p>
    <w:p>
      <w:pPr>
        <w:pStyle w:val="BodyText"/>
      </w:pPr>
      <w:r>
        <w:rPr>
          <w:bCs/>
          <w:b/>
        </w:rPr>
        <w:t xml:space="preserve">Calculation:</w:t>
      </w:r>
    </w:p>
    <w:p>
      <w:pPr>
        <w:pStyle w:val="BodyText"/>
      </w:pPr>
      <w:r>
        <w:t xml:space="preserve">Illustrative EoL Emissions = (1 - Recyclability Percentage (jsmetmevyj)) × Weight × Emission Factor</w:t>
      </w:r>
      <w:r>
        <w:rPr>
          <w:vertAlign w:val="subscript"/>
        </w:rPr>
        <w:t xml:space="preserve">Disposal</w:t>
      </w:r>
      <w:r>
        <w:t xml:space="preserve"> </w:t>
      </w:r>
      <w:r>
        <w:t xml:space="preserve">- (Recyclability Percentage (jsmetmevyj) × Weight × Avoided Emission Factor</w:t>
      </w:r>
      <w:r>
        <w:rPr>
          <w:vertAlign w:val="subscript"/>
        </w:rPr>
        <w:t xml:space="preserve">Recycling</w:t>
      </w:r>
      <w:r>
        <w:t xml:space="preserve">)</w:t>
      </w:r>
    </w:p>
    <w:p>
      <w:pPr>
        <w:pStyle w:val="BodyText"/>
      </w:pPr>
      <w:r>
        <w:t xml:space="preserve">The impact of \'eunqrexltr\' (e.g., \'Product Take-back Program\') would be quantified by the efficiency and reach of these programs, potentially increasing the effective recyclability and material recovery rates, leading to further avoided emissions. For a \'jsmetmevyj\' of \'70%\', 70% of materials could potentially avoid landfill/incineration emissions and offset virgin material production emissions. This is a complex calculation that relies on specific EoL scenario emission factors.</w:t>
      </w:r>
    </w:p>
    <w:bookmarkEnd w:id="38"/>
    <w:bookmarkEnd w:id="39"/>
    <w:bookmarkStart w:id="40" w:name="application-of-2026-lsr-standard"/>
    <w:p>
      <w:pPr>
        <w:pStyle w:val="Heading3"/>
      </w:pPr>
      <w:r>
        <w:t xml:space="preserve">4.4 Application of 2026 LSR Standard</w:t>
      </w:r>
    </w:p>
    <w:p>
      <w:pPr>
        <w:pStyle w:val="FirstParagraph"/>
      </w:pPr>
      <w:r>
        <w:t xml:space="preserve">The 2026 Land Sector and Removals (LSR) Standard is applied to account for any GHG emissions and removals associated with land use change and bioenergy within the product\'s value chain. For \'wonsiinlug\', this would typically involve assessing the land-use impact of raw materials, particularly those from agricultural or forestry origins (e.g., packaging, bio-based plastics). While specific data inputs for land-use impact were not provided as distinct numerical parameters, the methodological framework ensures that such impacts, if quantified, would be included in the relevant Scope 3 categories, particularly Category 1 (Purchased Goods and Services).</w:t>
      </w:r>
    </w:p>
    <w:bookmarkEnd w:id="40"/>
    <w:bookmarkStart w:id="41" w:name="illustrative-total-pcf"/>
    <w:p>
      <w:pPr>
        <w:pStyle w:val="Heading3"/>
      </w:pPr>
      <w:r>
        <w:t xml:space="preserve">4.5 Illustrative Total PCF</w:t>
      </w:r>
    </w:p>
    <w:p>
      <w:pPr>
        <w:pStyle w:val="FirstParagraph"/>
      </w:pPr>
      <w:r>
        <w:t xml:space="preserve">Based on the illustrative numerical values used for demonstration:</w:t>
      </w:r>
    </w:p>
    <w:p>
      <w:pPr>
        <w:pStyle w:val="BodyText"/>
      </w:pPr>
      <w:r>
        <w:t xml:space="preserve">Illustrative Total PCF = Scope 1 (negligible) + Scope 2 (0.75 kgCO2e) + Scope 3 (Materials: 2.8 kgCO2e + Transport: 0.025 kgCO2e + Use Phase: 20.0 kgCO2e + EoL: variable)</w:t>
      </w:r>
    </w:p>
    <w:p>
      <w:pPr>
        <w:pStyle w:val="BodyText"/>
      </w:pPr>
      <w:r>
        <w:rPr>
          <w:bCs/>
          <w:b/>
        </w:rPr>
        <w:t xml:space="preserve">Illustrative Sub-Total (excluding EoL variability): ~23.575 kgCO2e per unit of wonsiinlug</w:t>
      </w:r>
    </w:p>
    <w:p>
      <w:pPr>
        <w:pStyle w:val="BodyText"/>
      </w:pPr>
      <w:r>
        <w:rPr>
          <w:iCs/>
          <w:i/>
        </w:rPr>
        <w:t xml:space="preserve">It is crucial to reiterate that this total is for illustrative purposes only. A precise PCF requires numerical values for all input parameters.</w:t>
      </w:r>
    </w:p>
    <w:p>
      <w:r>
        <w:pict>
          <v:rect style="width:0;height:1.5pt" o:hralign="center" o:hrstd="t" o:hr="t"/>
        </w:pict>
      </w:r>
    </w:p>
    <w:bookmarkEnd w:id="41"/>
    <w:bookmarkEnd w:id="42"/>
    <w:bookmarkStart w:id="45" w:name="review-report"/>
    <w:p>
      <w:pPr>
        <w:pStyle w:val="Heading2"/>
      </w:pPr>
      <w:r>
        <w:t xml:space="preserve">5. Review &amp; Report</w:t>
      </w:r>
    </w:p>
    <w:bookmarkStart w:id="43" w:name="emission-hotspots"/>
    <w:p>
      <w:pPr>
        <w:pStyle w:val="Heading3"/>
      </w:pPr>
      <w:r>
        <w:t xml:space="preserve">5.1 Emission Hotspots</w:t>
      </w:r>
    </w:p>
    <w:p>
      <w:pPr>
        <w:pStyle w:val="FirstParagraph"/>
      </w:pPr>
      <w:r>
        <w:t xml:space="preserve">Based on the illustrative calculations, the primary emission hotspots for \'wonsiinlug\' are:</w:t>
      </w:r>
    </w:p>
    <w:p>
      <w:pPr>
        <w:numPr>
          <w:ilvl w:val="0"/>
          <w:numId w:val="1008"/>
        </w:numPr>
        <w:pStyle w:val="Compact"/>
      </w:pPr>
      <w:r>
        <w:rPr>
          <w:bCs/>
          <w:b/>
        </w:rPr>
        <w:t xml:space="preserve">Use Phase:</w:t>
      </w:r>
      <w:r>
        <w:t xml:space="preserve"> </w:t>
      </w:r>
      <w:r>
        <w:t xml:space="preserve">With an illustrative 20.0 kgCO2e, the energy consumption during the product\'s lifespan is a dominant contributor. This highlights the importance of energy efficiency during operation.</w:t>
      </w:r>
    </w:p>
    <w:p>
      <w:pPr>
        <w:numPr>
          <w:ilvl w:val="0"/>
          <w:numId w:val="1008"/>
        </w:numPr>
        <w:pStyle w:val="Compact"/>
      </w:pPr>
      <w:r>
        <w:rPr>
          <w:bCs/>
          <w:b/>
        </w:rPr>
        <w:t xml:space="preserve">Materials Production (Scope 3, Category 1):</w:t>
      </w:r>
      <w:r>
        <w:t xml:space="preserve"> </w:t>
      </w:r>
      <w:r>
        <w:t xml:space="preserve">Illustrative material impacts of 2.8 kgCO2e indicate that material selection and efficient use are key. Batteries and certain plastics often have high embodied carbon.</w:t>
      </w:r>
    </w:p>
    <w:p>
      <w:pPr>
        <w:numPr>
          <w:ilvl w:val="0"/>
          <w:numId w:val="1008"/>
        </w:numPr>
        <w:pStyle w:val="Compact"/>
      </w:pPr>
      <w:r>
        <w:rPr>
          <w:bCs/>
          <w:b/>
        </w:rPr>
        <w:t xml:space="preserve">Production Energy (Scope 2):</w:t>
      </w:r>
      <w:r>
        <w:t xml:space="preserve"> </w:t>
      </w:r>
      <w:r>
        <w:t xml:space="preserve">Although smaller illustratively (0.75 kgCO2e), the energy used in the factory for manufacturing is a direct control point for tjgjmdnziz.</w:t>
      </w:r>
    </w:p>
    <w:bookmarkEnd w:id="43"/>
    <w:bookmarkStart w:id="44" w:name="recommendations-for-emissions-reduction"/>
    <w:p>
      <w:pPr>
        <w:pStyle w:val="Heading3"/>
      </w:pPr>
      <w:r>
        <w:t xml:space="preserve">5.2 Recommendations for Emissions Reduction</w:t>
      </w:r>
    </w:p>
    <w:p>
      <w:pPr>
        <w:pStyle w:val="FirstParagraph"/>
      </w:pPr>
      <w:r>
        <w:t xml:space="preserve">To reduce the carbon footprint of \'wonsiinlug\', tjgjmdnziz should focus on:</w:t>
      </w:r>
    </w:p>
    <w:p>
      <w:pPr>
        <w:numPr>
          <w:ilvl w:val="0"/>
          <w:numId w:val="1009"/>
        </w:numPr>
        <w:pStyle w:val="Compact"/>
      </w:pPr>
      <w:r>
        <w:rPr>
          <w:bCs/>
          <w:b/>
        </w:rPr>
        <w:t xml:space="preserve">Improving Energy Efficiency in Use:</w:t>
      </w:r>
      <w:r>
        <w:t xml:space="preserve"> </w:t>
      </w:r>
      <w:r>
        <w:t xml:space="preserve">Designing \'wonsiinlug\' to be more energy-efficient during its operational lifespan (e.g., lower power modes, longer battery life without frequent charging).</w:t>
      </w:r>
    </w:p>
    <w:p>
      <w:pPr>
        <w:numPr>
          <w:ilvl w:val="0"/>
          <w:numId w:val="1009"/>
        </w:numPr>
        <w:pStyle w:val="Compact"/>
      </w:pPr>
      <w:r>
        <w:rPr>
          <w:bCs/>
          <w:b/>
        </w:rPr>
        <w:t xml:space="preserve">Sourcing Low-Carbon Materials:</w:t>
      </w:r>
      <w:r>
        <w:t xml:space="preserve"> </w:t>
      </w:r>
      <w:r>
        <w:t xml:space="preserve">Investigating alternative materials for the \'nfzfxnsn\' BOM with lower embodied carbon, or working with suppliers to reduce their emissions. This includes optimizing material usage to reduce quantity.</w:t>
      </w:r>
    </w:p>
    <w:p>
      <w:pPr>
        <w:numPr>
          <w:ilvl w:val="0"/>
          <w:numId w:val="1009"/>
        </w:numPr>
        <w:pStyle w:val="Compact"/>
      </w:pPr>
      <w:r>
        <w:rPr>
          <w:bCs/>
          <w:b/>
        </w:rPr>
        <w:t xml:space="preserve">Increasing Renewable Energy Adoption:</w:t>
      </w:r>
      <w:r>
        <w:t xml:space="preserve"> </w:t>
      </w:r>
      <w:r>
        <w:t xml:space="preserve">Further increasing the \'zulideqleo\' (Renewable Energy Usage) at the production facilities in China to reduce Scope 2 emissions.</w:t>
      </w:r>
    </w:p>
    <w:p>
      <w:pPr>
        <w:numPr>
          <w:ilvl w:val="0"/>
          <w:numId w:val="1009"/>
        </w:numPr>
        <w:pStyle w:val="Compact"/>
      </w:pPr>
      <w:r>
        <w:rPr>
          <w:bCs/>
          <w:b/>
        </w:rPr>
        <w:t xml:space="preserve">Optimizing Logistics:</w:t>
      </w:r>
      <w:r>
        <w:t xml:space="preserve"> </w:t>
      </w:r>
      <w:r>
        <w:t xml:space="preserve">Exploring more efficient transport modes than \'Select Mode\' for \'ffqneopkyz\' distance and improving \'Delivery Type\' efficiency for last-mile delivery.</w:t>
      </w:r>
    </w:p>
    <w:p>
      <w:pPr>
        <w:numPr>
          <w:ilvl w:val="0"/>
          <w:numId w:val="1009"/>
        </w:numPr>
        <w:pStyle w:val="Compact"/>
      </w:pPr>
      <w:r>
        <w:rPr>
          <w:bCs/>
          <w:b/>
        </w:rPr>
        <w:t xml:space="preserve">Enhancing Circularity:</w:t>
      </w:r>
      <w:r>
        <w:t xml:space="preserve"> </w:t>
      </w:r>
      <w:r>
        <w:t xml:space="preserve">Strengthening \'eunqrexltr\' (Circular/Take-back Programs) and designing for higher recyclability (beyond \'jsmetmevyj\') and easier disassembly to maximize material recovery and reuse, thereby avoiding virgin material production.</w:t>
      </w:r>
    </w:p>
    <w:p>
      <w:r>
        <w:pict>
          <v:rect style="width:0;height:1.5pt" o:hralign="center" o:hrstd="t" o:hr="t"/>
        </w:pict>
      </w:r>
    </w:p>
    <w:p>
      <w:pPr>
        <w:pStyle w:val="FirstParagraph"/>
      </w:pPr>
      <w:r>
        <w:t xml:space="preserve">Confidential - Internal Use Only | Page</w:t>
      </w:r>
      <w:r>
        <w:t xml:space="preserve"> </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wonsiinlug</dc:title>
  <dc:creator/>
  <dc:description>Detailed Product Carbon Footprint (PCF) analysis report for product wonsiinlug, conducted by Senior Sustainability Consultant jquiomyqev for company tjgjmdnziz. This report adheres to the GHG Protocol and incorporates the 2026 Land Sector and Removals (LSR) Standard.</dc:description>
  <dc:language>en</dc:language>
  <cp:keywords/>
  <dcterms:created xsi:type="dcterms:W3CDTF">2026-05-30T16:48:57Z</dcterms:created>
  <dcterms:modified xsi:type="dcterms:W3CDTF">2026-05-30T16:48:57Z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