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Analysis</w:t>
      </w:r>
      <w:r>
        <w:t xml:space="preserve"> </w:t>
      </w:r>
      <w:r>
        <w:t xml:space="preserve">Report:</w:t>
      </w:r>
      <w:r>
        <w:t xml:space="preserve"> </w:t>
      </w:r>
      <w:r>
        <w:t xml:space="preserve">Power</w:t>
      </w:r>
      <w:r>
        <w:t xml:space="preserve"> </w:t>
      </w:r>
      <w:r>
        <w:t xml:space="preserve">Bank</w:t>
      </w:r>
      <w:r>
        <w:t xml:space="preserve"> </w:t>
      </w:r>
      <w:r>
        <w:t xml:space="preserve">100W</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Power Bank 100W</w:t>
      </w:r>
    </w:p>
    <w:p>
      <w:pPr>
        <w:pStyle w:val="BodyText"/>
      </w:pPr>
      <w:r>
        <w:rPr>
          <w:bCs/>
          <w:b/>
        </w:rPr>
        <w:t xml:space="preserve">Protocol Data (Accounting Standard):</w:t>
      </w:r>
      <w:r>
        <w:t xml:space="preserve"> </w:t>
      </w:r>
      <w:r>
        <w:t xml:space="preserve">GHG Protocol</w:t>
      </w:r>
    </w:p>
    <w:p>
      <w:pPr>
        <w:pStyle w:val="BodyText"/>
      </w:pPr>
      <w:r>
        <w:rPr>
          <w:bCs/>
          <w:b/>
        </w:rPr>
        <w:t xml:space="preserve">Senior Sustainability Consultant:</w:t>
      </w:r>
      <w:r>
        <w:t xml:space="preserve"> </w:t>
      </w:r>
      <w:r>
        <w:t xml:space="preserve">remko weingarten</w:t>
      </w:r>
    </w:p>
    <w:p>
      <w:pPr>
        <w:pStyle w:val="BodyText"/>
      </w:pPr>
      <w:r>
        <w:rPr>
          <w:iCs/>
          <w:i/>
        </w:rPr>
        <w:t xml:space="preserve">Disclaimer: This report is generated based on available data, industry standards, and reasonable assumptions for illustrative purposes. While every effort has been made to ensure accuracy, actual values may vary. This report should be used for internal strategic planning and understanding only.</w:t>
      </w:r>
    </w:p>
    <w:p>
      <w:pPr>
        <w:pStyle w:val="BodyText"/>
      </w:pPr>
      <w:r>
        <w:t xml:space="preserve">Generated Date: June 8, 2026</w:t>
      </w:r>
    </w:p>
    <w:bookmarkEnd w:id="20"/>
    <w:bookmarkStart w:id="48" w:name="X846b4acd00033b4dd4b709736eab024d92bdb2c"/>
    <w:p>
      <w:pPr>
        <w:pStyle w:val="Heading1"/>
      </w:pPr>
      <w:r>
        <w:t xml:space="preserve">Product Carbon Footprint Analysis: Power Bank 100W</w:t>
      </w:r>
    </w:p>
    <w:p>
      <w:pPr>
        <w:pStyle w:val="FirstParagraph"/>
      </w:pPr>
      <w:r>
        <w:rPr>
          <w:bCs/>
          <w:b/>
        </w:rPr>
        <w:t xml:space="preserve">Generated Date:</w:t>
      </w:r>
      <w:r>
        <w:t xml:space="preserve"> </w:t>
      </w:r>
      <w:r>
        <w:t xml:space="preserve">June 8,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As Remko Weingarten, a Senior Sustainability Consultant specializing in GHG Protocol, I have conducted a high-detail Product Carbon Footprint (PCF) analysis for a 100W Power Bank. This report follows the GHG Protocol\'s methodologies, including the 2026 Land Sector and Removals (LSR) Standard update and aims for at least 95% coverage for Scope 3 emissions. The analysis focuses on a cradle-to-gate system boundary, covering raw material acquisition, manufacturing, and transportation to the factory gate in the Netherlands, with a supply chain focus on Europe. The primary objective is to identify greenhouse gas (GHG) emission hotspots and provide a foundational understanding for future emission reduction strategies.</w:t>
      </w:r>
    </w:p>
    <w:p>
      <w:r>
        <w:pict>
          <v:rect style="width:0;height:1.5pt" o:hralign="center" o:hrstd="t" o:hr="t"/>
        </w:pict>
      </w:r>
    </w:p>
    <w:bookmarkEnd w:id="21"/>
    <w:bookmarkStart w:id="27" w:name="define-scope"/>
    <w:p>
      <w:pPr>
        <w:pStyle w:val="Heading2"/>
      </w:pPr>
      <w:r>
        <w:t xml:space="preserve">1. Define Scope</w:t>
      </w:r>
    </w:p>
    <w:bookmarkStart w:id="22" w:name="functional-unit"/>
    <w:p>
      <w:pPr>
        <w:pStyle w:val="Heading3"/>
      </w:pPr>
      <w:r>
        <w:t xml:space="preserve">Functional Unit</w:t>
      </w:r>
    </w:p>
    <w:p>
      <w:pPr>
        <w:pStyle w:val="FirstParagraph"/>
      </w:pPr>
      <w:r>
        <w:t xml:space="preserve">The functional unit for this Product Carbon Footprint (PCF) analysis is</w:t>
      </w:r>
      <w:r>
        <w:t xml:space="preserve"> </w:t>
      </w:r>
      <w:r>
        <w:rPr>
          <w:bCs/>
          <w:b/>
        </w:rPr>
        <w:t xml:space="preserve">1.0 unit of a 100W Power Bank</w:t>
      </w:r>
      <w:r>
        <w:t xml:space="preserve">, designed to provide portable charging capabilities with a maximum power output of 100 watts. This unit represents the utility delivered to the end-user for portable energy storage and delivery.</w:t>
      </w:r>
    </w:p>
    <w:bookmarkEnd w:id="22"/>
    <w:bookmarkStart w:id="23" w:name="system-boundary"/>
    <w:p>
      <w:pPr>
        <w:pStyle w:val="Heading3"/>
      </w:pPr>
      <w:r>
        <w:t xml:space="preserve">System Boundary</w:t>
      </w:r>
    </w:p>
    <w:p>
      <w:pPr>
        <w:pStyle w:val="FirstParagraph"/>
      </w:pPr>
      <w:r>
        <w:t xml:space="preserve">The system boundary for this analysis is</w:t>
      </w:r>
      <w:r>
        <w:t xml:space="preserve"> </w:t>
      </w:r>
      <w:r>
        <w:rPr>
          <w:bCs/>
          <w:b/>
        </w:rPr>
        <w:t xml:space="preserve">"factory_gate" (cradle-to-gate)</w:t>
      </w:r>
      <w:r>
        <w:t xml:space="preserve">. This includes all life cycle stages from the extraction and processing of raw materials, manufacturing of components, assembly of the final product, and all transportation activities up to the point where the finished 100W Power Bank leaves the final assembly factory in the Netherlands. Emissions associated with product use, distribution to end-users, and end-of-life are excluded from this specific PCF assessment.</w:t>
      </w:r>
    </w:p>
    <w:bookmarkEnd w:id="23"/>
    <w:bookmarkStart w:id="24" w:name="geographic-scope"/>
    <w:p>
      <w:pPr>
        <w:pStyle w:val="Heading3"/>
      </w:pPr>
      <w:r>
        <w:t xml:space="preserve">Geographic Scope</w:t>
      </w:r>
    </w:p>
    <w:p>
      <w:pPr>
        <w:pStyle w:val="FirstParagraph"/>
      </w:pPr>
      <w:r>
        <w:t xml:space="preserve">The</w:t>
      </w:r>
      <w:r>
        <w:t xml:space="preserve"> </w:t>
      </w:r>
      <w:r>
        <w:rPr>
          <w:bCs/>
          <w:b/>
        </w:rPr>
        <w:t xml:space="preserve">Final Production Country is the Netherlands</w:t>
      </w:r>
      <w:r>
        <w:t xml:space="preserve">. The</w:t>
      </w:r>
      <w:r>
        <w:t xml:space="preserve"> </w:t>
      </w:r>
      <w:r>
        <w:rPr>
          <w:bCs/>
          <w:b/>
        </w:rPr>
        <w:t xml:space="preserve">Supply Chain Focus is Europe Focused</w:t>
      </w:r>
      <w:r>
        <w:t xml:space="preserve">, implying that where specific data is unavailable, European average emission factors and transportation distances are prioritized, though global averages may be used for highly specialized components (e.g., specific battery chemicals, semiconductors) if sourcing cannot be definitively localized within Europe.</w:t>
      </w:r>
    </w:p>
    <w:bookmarkEnd w:id="24"/>
    <w:bookmarkStart w:id="25" w:name="accounting-standard"/>
    <w:p>
      <w:pPr>
        <w:pStyle w:val="Heading3"/>
      </w:pPr>
      <w:r>
        <w:t xml:space="preserve">Accounting Standard</w:t>
      </w:r>
    </w:p>
    <w:p>
      <w:pPr>
        <w:pStyle w:val="FirstParagraph"/>
      </w:pPr>
      <w:r>
        <w:t xml:space="preserve">This PCF analysis strictly adheres to the</w:t>
      </w:r>
      <w:r>
        <w:t xml:space="preserve"> </w:t>
      </w:r>
      <w:r>
        <w:rPr>
          <w:bCs/>
          <w:b/>
        </w:rPr>
        <w:t xml:space="preserve">GHG Protocol</w:t>
      </w:r>
      <w:r>
        <w:t xml:space="preserve">, specifically referencing the Corporate Value Chain (Scope 3) Accounting and Reporting Standard. This framework guides the categorization of emissions into Scope 1 (direct emissions from owned or controlled sources), Scope 2 (indirect emissions from purchased energy), and Scope 3 (all other indirect emissions in the value chain).</w:t>
      </w:r>
    </w:p>
    <w:bookmarkEnd w:id="25"/>
    <w:bookmarkStart w:id="26" w:name="allocation"/>
    <w:p>
      <w:pPr>
        <w:pStyle w:val="Heading3"/>
      </w:pPr>
      <w:r>
        <w:t xml:space="preserve">Allocation</w:t>
      </w:r>
    </w:p>
    <w:p>
      <w:pPr>
        <w:pStyle w:val="FirstParagraph"/>
      </w:pPr>
      <w:r>
        <w:t xml:space="preserve">For this single-product PCF, allocation primarily follows a direct attribution approach. Where multi-product processes are encountered in the supply chain (e.g., co-production of materials), mass-based allocation is generally applied as a pragmatic approach in the absence of more specific data. No co-products are considered for the final 100W Power Bank unit within the factory gate boundary.</w:t>
      </w:r>
    </w:p>
    <w:p>
      <w:r>
        <w:pict>
          <v:rect style="width:0;height:1.5pt" o:hralign="center" o:hrstd="t" o:hr="t"/>
        </w:pict>
      </w:r>
    </w:p>
    <w:bookmarkEnd w:id="26"/>
    <w:bookmarkEnd w:id="27"/>
    <w:bookmarkStart w:id="30" w:name="map-lifecycle-lci-inventory-stages"/>
    <w:p>
      <w:pPr>
        <w:pStyle w:val="Heading2"/>
      </w:pPr>
      <w:r>
        <w:t xml:space="preserve">2. Map Lifecycle (LCI Inventory Stages)</w:t>
      </w:r>
    </w:p>
    <w:p>
      <w:pPr>
        <w:pStyle w:val="FirstParagraph"/>
      </w:pPr>
      <w:r>
        <w:t xml:space="preserve">The lifecycle of the 100W Power Bank, within the defined cradle-to-gate boundary, encompasses several key stages from raw material extraction to final assembly and packaging.</w:t>
      </w:r>
    </w:p>
    <w:bookmarkStart w:id="28" w:name="detailed-material-breakdown"/>
    <w:p>
      <w:pPr>
        <w:pStyle w:val="Heading3"/>
      </w:pPr>
      <w:r>
        <w:t xml:space="preserve">Detailed Material Breakdown</w:t>
      </w:r>
    </w:p>
    <w:p>
      <w:pPr>
        <w:pStyle w:val="FirstParagraph"/>
      </w:pPr>
      <w:r>
        <w:t xml:space="preserve">A typical 100W Power Bank, weighing approximately 500g, consists of several complex components. The following table provides an illustrative breakdown of key materials and their estimated weights.</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Component Group</w:t>
            </w:r>
          </w:p>
        </w:tc>
        <w:tc>
          <w:tcPr/>
          <w:p>
            <w:pPr>
              <w:pStyle w:val="Compact"/>
              <w:jc w:val="left"/>
            </w:pPr>
            <w:r>
              <w:t xml:space="preserve">Estimated Weight (g)</w:t>
            </w:r>
          </w:p>
        </w:tc>
        <w:tc>
          <w:tcPr/>
          <w:p>
            <w:pPr>
              <w:pStyle w:val="Compact"/>
              <w:jc w:val="left"/>
            </w:pPr>
            <w:r>
              <w:t xml:space="preserve">Primary Materials</w:t>
            </w:r>
          </w:p>
        </w:tc>
        <w:tc>
          <w:tcPr/>
          <w:p>
            <w:pPr>
              <w:pStyle w:val="Compact"/>
              <w:jc w:val="left"/>
            </w:pPr>
            <w:r>
              <w:t xml:space="preserve">Remarks</w:t>
            </w:r>
          </w:p>
        </w:tc>
      </w:tr>
      <w:tr>
        <w:tc>
          <w:tcPr/>
          <w:p>
            <w:pPr>
              <w:pStyle w:val="Compact"/>
              <w:jc w:val="left"/>
            </w:pPr>
            <w:r>
              <w:rPr>
                <w:bCs/>
                <w:b/>
              </w:rPr>
              <w:t xml:space="preserve">Battery Cells (Li-ion)</w:t>
            </w:r>
          </w:p>
        </w:tc>
        <w:tc>
          <w:tcPr/>
          <w:p>
            <w:pPr>
              <w:pStyle w:val="Compact"/>
              <w:jc w:val="left"/>
            </w:pPr>
            <w:r>
              <w:t xml:space="preserve">300</w:t>
            </w:r>
          </w:p>
        </w:tc>
        <w:tc>
          <w:tcPr/>
          <w:p>
            <w:pPr>
              <w:pStyle w:val="Compact"/>
              <w:jc w:val="left"/>
            </w:pPr>
            <w:r>
              <w:t xml:space="preserve">Lithium, Cobalt, Nickel, Manganese, Graphite, Electrolyte, Separator, Copper, Aluminum</w:t>
            </w:r>
          </w:p>
        </w:tc>
        <w:tc>
          <w:tcPr/>
          <w:p>
            <w:pPr>
              <w:pStyle w:val="Compact"/>
              <w:jc w:val="left"/>
            </w:pPr>
            <w:r>
              <w:t xml:space="preserve">The core component, typically NMC or NCA chemistry. Cells constitute ~60% of total pack weight.</w:t>
            </w:r>
          </w:p>
        </w:tc>
      </w:tr>
      <w:tr>
        <w:tc>
          <w:tcPr/>
          <w:p>
            <w:pPr>
              <w:pStyle w:val="Compact"/>
              <w:jc w:val="left"/>
            </w:pPr>
            <w:r>
              <w:rPr>
                <w:bCs/>
                <w:b/>
              </w:rPr>
              <w:t xml:space="preserve">Casing</w:t>
            </w:r>
          </w:p>
        </w:tc>
        <w:tc>
          <w:tcPr/>
          <w:p>
            <w:pPr>
              <w:pStyle w:val="Compact"/>
              <w:jc w:val="left"/>
            </w:pPr>
            <w:r>
              <w:t xml:space="preserve">125</w:t>
            </w:r>
          </w:p>
        </w:tc>
        <w:tc>
          <w:tcPr/>
          <w:p>
            <w:pPr>
              <w:pStyle w:val="Compact"/>
              <w:jc w:val="left"/>
            </w:pPr>
            <w:r>
              <w:t xml:space="preserve">ABS (Acrylonitrile Butadiene Styrene), PC (Polycarbonate), or Aluminum alloy</w:t>
            </w:r>
          </w:p>
        </w:tc>
        <w:tc>
          <w:tcPr/>
          <w:p>
            <w:pPr>
              <w:pStyle w:val="Compact"/>
              <w:jc w:val="left"/>
            </w:pPr>
            <w:r>
              <w:t xml:space="preserve">Protective enclosure, chosen for durability and aesthetics.</w:t>
            </w:r>
          </w:p>
        </w:tc>
      </w:tr>
      <w:tr>
        <w:tc>
          <w:tcPr/>
          <w:p>
            <w:pPr>
              <w:pStyle w:val="Compact"/>
              <w:jc w:val="left"/>
            </w:pPr>
            <w:r>
              <w:rPr>
                <w:bCs/>
                <w:b/>
              </w:rPr>
              <w:t xml:space="preserve">Printed Circuit Board Assembly (PCBA)</w:t>
            </w:r>
          </w:p>
        </w:tc>
        <w:tc>
          <w:tcPr/>
          <w:p>
            <w:pPr>
              <w:pStyle w:val="Compact"/>
              <w:jc w:val="left"/>
            </w:pPr>
            <w:r>
              <w:t xml:space="preserve">50</w:t>
            </w:r>
          </w:p>
        </w:tc>
        <w:tc>
          <w:tcPr/>
          <w:p>
            <w:pPr>
              <w:pStyle w:val="Compact"/>
              <w:jc w:val="left"/>
            </w:pPr>
            <w:r>
              <w:t xml:space="preserve">FR-4 (Fiberglass-reinforced epoxy laminate), Copper, Silicon (chips), Tin (solder), various electronic components (capacitors, resistors, diodes)</w:t>
            </w:r>
          </w:p>
        </w:tc>
        <w:tc>
          <w:tcPr/>
          <w:p>
            <w:pPr>
              <w:pStyle w:val="Compact"/>
              <w:jc w:val="left"/>
            </w:pPr>
            <w:r>
              <w:t xml:space="preserve">Manages power flow, charging, discharging, and safety features. FR-4 is a common PCB material.</w:t>
            </w:r>
          </w:p>
        </w:tc>
      </w:tr>
      <w:tr>
        <w:tc>
          <w:tcPr/>
          <w:p>
            <w:pPr>
              <w:pStyle w:val="Compact"/>
              <w:jc w:val="left"/>
            </w:pPr>
            <w:r>
              <w:rPr>
                <w:bCs/>
                <w:b/>
              </w:rPr>
              <w:t xml:space="preserve">Cables &amp; Connectors</w:t>
            </w:r>
          </w:p>
        </w:tc>
        <w:tc>
          <w:tcPr/>
          <w:p>
            <w:pPr>
              <w:pStyle w:val="Compact"/>
              <w:jc w:val="left"/>
            </w:pPr>
            <w:r>
              <w:t xml:space="preserve">15</w:t>
            </w:r>
          </w:p>
        </w:tc>
        <w:tc>
          <w:tcPr/>
          <w:p>
            <w:pPr>
              <w:pStyle w:val="Compact"/>
              <w:jc w:val="left"/>
            </w:pPr>
            <w:r>
              <w:t xml:space="preserve">Copper (wire), PVC/TPE (insulation), Aluminum/Steel (connectors), Plastics</w:t>
            </w:r>
          </w:p>
        </w:tc>
        <w:tc>
          <w:tcPr/>
          <w:p>
            <w:pPr>
              <w:pStyle w:val="Compact"/>
              <w:jc w:val="left"/>
            </w:pPr>
            <w:r>
              <w:t xml:space="preserve">Integrated charging/output cables and ports (e.g., USB-C, USB-A).</w:t>
            </w:r>
          </w:p>
        </w:tc>
      </w:tr>
      <w:tr>
        <w:tc>
          <w:tcPr/>
          <w:p>
            <w:pPr>
              <w:pStyle w:val="Compact"/>
              <w:jc w:val="left"/>
            </w:pPr>
            <w:r>
              <w:rPr>
                <w:bCs/>
                <w:b/>
              </w:rPr>
              <w:t xml:space="preserve">Packaging &amp; Manuals</w:t>
            </w:r>
          </w:p>
        </w:tc>
        <w:tc>
          <w:tcPr/>
          <w:p>
            <w:pPr>
              <w:pStyle w:val="Compact"/>
              <w:jc w:val="left"/>
            </w:pPr>
            <w:r>
              <w:t xml:space="preserve">10</w:t>
            </w:r>
          </w:p>
        </w:tc>
        <w:tc>
          <w:tcPr/>
          <w:p>
            <w:pPr>
              <w:pStyle w:val="Compact"/>
              <w:jc w:val="left"/>
            </w:pPr>
            <w:r>
              <w:t xml:space="preserve">Cardboard, Paper (manuals), minimal LDPE plastic (protective film)</w:t>
            </w:r>
          </w:p>
        </w:tc>
        <w:tc>
          <w:tcPr/>
          <w:p>
            <w:pPr>
              <w:pStyle w:val="Compact"/>
              <w:jc w:val="left"/>
            </w:pPr>
            <w:r>
              <w:t xml:space="preserve">Retail packaging and user documentation.</w:t>
            </w:r>
          </w:p>
        </w:tc>
      </w:tr>
      <w:tr>
        <w:tc>
          <w:tcPr/>
          <w:p>
            <w:pPr>
              <w:pStyle w:val="Compact"/>
              <w:jc w:val="left"/>
            </w:pPr>
            <w:r>
              <w:rPr>
                <w:bCs/>
                <w:b/>
              </w:rPr>
              <w:t xml:space="preserve">Total Estimated Weight</w:t>
            </w:r>
          </w:p>
        </w:tc>
        <w:tc>
          <w:tcPr/>
          <w:p>
            <w:pPr>
              <w:pStyle w:val="Compact"/>
              <w:jc w:val="left"/>
            </w:pPr>
            <w:r>
              <w:rPr>
                <w:bCs/>
                <w:b/>
              </w:rPr>
              <w:t xml:space="preserve">500</w:t>
            </w:r>
          </w:p>
        </w:tc>
        <w:tc>
          <w:tcPr/>
          <w:p>
            <w:pPr>
              <w:pStyle w:val="Compact"/>
            </w:pPr>
          </w:p>
        </w:tc>
        <w:tc>
          <w:tcPr/>
          <w:p>
            <w:pPr>
              <w:pStyle w:val="Compact"/>
              <w:jc w:val="left"/>
            </w:pPr>
            <w:r>
              <w:t xml:space="preserve">Illustrative total weight for a 100W power bank.</w:t>
            </w:r>
          </w:p>
        </w:tc>
      </w:tr>
    </w:tbl>
    <w:bookmarkEnd w:id="28"/>
    <w:bookmarkStart w:id="29" w:name="manufacturing-processes"/>
    <w:p>
      <w:pPr>
        <w:pStyle w:val="Heading3"/>
      </w:pPr>
      <w:r>
        <w:t xml:space="preserve">Manufacturing Processes</w:t>
      </w:r>
    </w:p>
    <w:p>
      <w:pPr>
        <w:pStyle w:val="FirstParagraph"/>
      </w:pPr>
      <w:r>
        <w:t xml:space="preserve">The manufacturing of the 100W Power Bank involves several distinct processes across the supply chain:</w:t>
      </w:r>
    </w:p>
    <w:p>
      <w:pPr>
        <w:numPr>
          <w:ilvl w:val="0"/>
          <w:numId w:val="1001"/>
        </w:numPr>
        <w:pStyle w:val="Compact"/>
      </w:pPr>
      <w:r>
        <w:rPr>
          <w:bCs/>
          <w:b/>
        </w:rPr>
        <w:t xml:space="preserve">Raw Material Extraction &amp; Processing:</w:t>
      </w:r>
      <w:r>
        <w:t xml:space="preserve"> </w:t>
      </w:r>
      <w:r>
        <w:t xml:space="preserve">Mining and refining of metals (e.g., copper, aluminum, lithium, cobalt), chemical synthesis for plastics (e.g., ABS, PC), and production of silicon wafers for semiconductors.</w:t>
      </w:r>
    </w:p>
    <w:p>
      <w:pPr>
        <w:numPr>
          <w:ilvl w:val="0"/>
          <w:numId w:val="1001"/>
        </w:numPr>
        <w:pStyle w:val="Compact"/>
      </w:pPr>
      <w:r>
        <w:rPr>
          <w:bCs/>
          <w:b/>
        </w:rPr>
        <w:t xml:space="preserve">Component Manufacturing:</w:t>
      </w:r>
    </w:p>
    <w:p>
      <w:pPr>
        <w:numPr>
          <w:ilvl w:val="1"/>
          <w:numId w:val="1002"/>
        </w:numPr>
        <w:pStyle w:val="Compact"/>
      </w:pPr>
      <w:r>
        <w:rPr>
          <w:iCs/>
          <w:i/>
        </w:rPr>
        <w:t xml:space="preserve">Battery Cell Production:</w:t>
      </w:r>
      <w:r>
        <w:t xml:space="preserve"> </w:t>
      </w:r>
      <w:r>
        <w:t xml:space="preserve">Energy-intensive processes including electrode coating, assembly of cells (anode, cathode, separator, electrolyte), and formation cycling.</w:t>
      </w:r>
    </w:p>
    <w:p>
      <w:pPr>
        <w:numPr>
          <w:ilvl w:val="1"/>
          <w:numId w:val="1002"/>
        </w:numPr>
        <w:pStyle w:val="Compact"/>
      </w:pPr>
      <w:r>
        <w:rPr>
          <w:iCs/>
          <w:i/>
        </w:rPr>
        <w:t xml:space="preserve">Plastic Casing Production:</w:t>
      </w:r>
      <w:r>
        <w:t xml:space="preserve"> </w:t>
      </w:r>
      <w:r>
        <w:t xml:space="preserve">Injection molding of plastic granules.</w:t>
      </w:r>
    </w:p>
    <w:p>
      <w:pPr>
        <w:numPr>
          <w:ilvl w:val="1"/>
          <w:numId w:val="1002"/>
        </w:numPr>
        <w:pStyle w:val="Compact"/>
      </w:pPr>
      <w:r>
        <w:rPr>
          <w:iCs/>
          <w:i/>
        </w:rPr>
        <w:t xml:space="preserve">Metal Casing Production:</w:t>
      </w:r>
      <w:r>
        <w:t xml:space="preserve"> </w:t>
      </w:r>
      <w:r>
        <w:t xml:space="preserve">Stamping, machining, and finishing of aluminum sheets.</w:t>
      </w:r>
    </w:p>
    <w:p>
      <w:pPr>
        <w:numPr>
          <w:ilvl w:val="1"/>
          <w:numId w:val="1002"/>
        </w:numPr>
        <w:pStyle w:val="Compact"/>
      </w:pPr>
      <w:r>
        <w:rPr>
          <w:iCs/>
          <w:i/>
        </w:rPr>
        <w:t xml:space="preserve">PCBA Production:</w:t>
      </w:r>
      <w:r>
        <w:t xml:space="preserve"> </w:t>
      </w:r>
      <w:r>
        <w:t xml:space="preserve">Etching of copper onto FR-4 substrates, component placement (SMT), soldering, and testing.</w:t>
      </w:r>
    </w:p>
    <w:p>
      <w:pPr>
        <w:numPr>
          <w:ilvl w:val="1"/>
          <w:numId w:val="1002"/>
        </w:numPr>
        <w:pStyle w:val="Compact"/>
      </w:pPr>
      <w:r>
        <w:rPr>
          <w:iCs/>
          <w:i/>
        </w:rPr>
        <w:t xml:space="preserve">Cable &amp; Connector Production:</w:t>
      </w:r>
      <w:r>
        <w:t xml:space="preserve"> </w:t>
      </w:r>
      <w:r>
        <w:t xml:space="preserve">Wire drawing, insulation extrusion, and assembly of connectors.</w:t>
      </w:r>
    </w:p>
    <w:p>
      <w:pPr>
        <w:numPr>
          <w:ilvl w:val="0"/>
          <w:numId w:val="1001"/>
        </w:numPr>
        <w:pStyle w:val="Compact"/>
      </w:pPr>
      <w:r>
        <w:rPr>
          <w:bCs/>
          <w:b/>
        </w:rPr>
        <w:t xml:space="preserve">Transportation of Components:</w:t>
      </w:r>
      <w:r>
        <w:t xml:space="preserve"> </w:t>
      </w:r>
      <w:r>
        <w:t xml:space="preserve">Inbound logistics of all manufactured components and sub-assemblies to the final assembly facility in the Netherlands. This typically involves a mix of sea and road freight across Europe and potentially from other global regions.</w:t>
      </w:r>
    </w:p>
    <w:p>
      <w:pPr>
        <w:numPr>
          <w:ilvl w:val="0"/>
          <w:numId w:val="1001"/>
        </w:numPr>
        <w:pStyle w:val="Compact"/>
      </w:pPr>
      <w:r>
        <w:rPr>
          <w:bCs/>
          <w:b/>
        </w:rPr>
        <w:t xml:space="preserve">Final Assembly &amp; Packaging:</w:t>
      </w:r>
      <w:r>
        <w:t xml:space="preserve"> </w:t>
      </w:r>
      <w:r>
        <w:t xml:space="preserve">Assembly of battery cells into packs, integration of PCBA, enclosure in casing, testing, and final packaging in the Netherlands.</w:t>
      </w:r>
    </w:p>
    <w:p>
      <w:r>
        <w:pict>
          <v:rect style="width:0;height:1.5pt" o:hralign="center" o:hrstd="t" o:hr="t"/>
        </w:pict>
      </w:r>
    </w:p>
    <w:bookmarkEnd w:id="29"/>
    <w:bookmarkEnd w:id="30"/>
    <w:bookmarkStart w:id="34" w:name="Xb57f50a89bf1f3f1837369be949d9d60d6c1272"/>
    <w:p>
      <w:pPr>
        <w:pStyle w:val="Heading2"/>
      </w:pPr>
      <w:r>
        <w:t xml:space="preserve">3. Collect Data (Primary/Secondary Data Points)</w:t>
      </w:r>
    </w:p>
    <w:p>
      <w:pPr>
        <w:pStyle w:val="FirstParagraph"/>
      </w:pPr>
      <w:r>
        <w:t xml:space="preserve">For this PCF analysis, a combination of primary and secondary data points has been utilized. As the consultant, primary data specific to an individual manufacturer is assumed to be collected where available for direct operations (Scope 1 and 2), while secondary data is predominantly used for the extensive upstream value chain (Scope 3) due to its complexity and data availability challenges.</w:t>
      </w:r>
    </w:p>
    <w:bookmarkStart w:id="31" w:name="primary-data-illustrative"/>
    <w:p>
      <w:pPr>
        <w:pStyle w:val="Heading3"/>
      </w:pPr>
      <w:r>
        <w:t xml:space="preserve">Primary Data (Illustrative)</w:t>
      </w:r>
    </w:p>
    <w:p>
      <w:pPr>
        <w:numPr>
          <w:ilvl w:val="0"/>
          <w:numId w:val="1003"/>
        </w:numPr>
        <w:pStyle w:val="Compact"/>
      </w:pPr>
      <w:r>
        <w:rPr>
          <w:bCs/>
          <w:b/>
        </w:rPr>
        <w:t xml:space="preserve">Final Assembly Factory Energy Consumption:</w:t>
      </w:r>
      <w:r>
        <w:t xml:space="preserve"> </w:t>
      </w:r>
      <w:r>
        <w:t xml:space="preserve">Electricity usage at the Dutch assembly facility.</w:t>
      </w:r>
    </w:p>
    <w:p>
      <w:pPr>
        <w:numPr>
          <w:ilvl w:val="0"/>
          <w:numId w:val="1003"/>
        </w:numPr>
        <w:pStyle w:val="Compact"/>
      </w:pPr>
      <w:r>
        <w:rPr>
          <w:bCs/>
          <w:b/>
        </w:rPr>
        <w:t xml:space="preserve">On-site Waste Generation:</w:t>
      </w:r>
      <w:r>
        <w:t xml:space="preserve"> </w:t>
      </w:r>
      <w:r>
        <w:t xml:space="preserve">Data on waste streams at the assembly factory.</w:t>
      </w:r>
    </w:p>
    <w:p>
      <w:pPr>
        <w:numPr>
          <w:ilvl w:val="0"/>
          <w:numId w:val="1003"/>
        </w:numPr>
        <w:pStyle w:val="Compact"/>
      </w:pPr>
      <w:r>
        <w:rPr>
          <w:bCs/>
          <w:b/>
        </w:rPr>
        <w:t xml:space="preserve">Short-haul Transport:</w:t>
      </w:r>
      <w:r>
        <w:t xml:space="preserve"> </w:t>
      </w:r>
      <w:r>
        <w:t xml:space="preserve">Fuel consumption for company-owned vehicles (if applicable and within factory_gate boundary).</w:t>
      </w:r>
    </w:p>
    <w:bookmarkEnd w:id="31"/>
    <w:bookmarkStart w:id="33" w:name="secondary-data-illustrative-predominant"/>
    <w:p>
      <w:pPr>
        <w:pStyle w:val="Heading3"/>
      </w:pPr>
      <w:r>
        <w:t xml:space="preserve">Secondary Data (Illustrative &amp; Predominant)</w:t>
      </w:r>
    </w:p>
    <w:p>
      <w:pPr>
        <w:pStyle w:val="FirstParagraph"/>
      </w:pPr>
      <w:r>
        <w:t xml:space="preserve">Secondary data forms the backbone of the upstream emissions calculation, relying on established Life Cycle Inventory (LCI) databases. For this report, industry-standard emission factors are primarily sourced from databases such as Ecoinvent and DEFRA, which provide robust, peer-reviewed data for a wide range of materials, manufacturing processes, and transportation modes.</w:t>
      </w:r>
    </w:p>
    <w:bookmarkStart w:id="32" w:name="Xf387e173b9801f4f94a06993e4fc46575fe9164"/>
    <w:p>
      <w:pPr>
        <w:pStyle w:val="Heading4"/>
      </w:pPr>
      <w:r>
        <w:t xml:space="preserve">Assumed Key Data Points for a 500g 100W Power Bank:</w:t>
      </w:r>
    </w:p>
    <w:p>
      <w:pPr>
        <w:pStyle w:val="FirstParagraph"/>
      </w:pPr>
      <w:r>
        <w:t xml:space="preserve">The following table presents the assumed activity data (material quantities, energy consumption, transport distances) used for emission calculations.</w:t>
      </w:r>
    </w:p>
    <w:tbl>
      <w:tblPr>
        <w:tblStyle w:val="Table"/>
        <w:tblW w:type="auto" w:w="0"/>
        <w:tblLook w:firstRow="1" w:lastRow="0" w:firstColumn="0" w:lastColumn="0" w:noHBand="0" w:noVBand="0" w:val="0020"/>
        <w:jc w:val="start"/>
      </w:tblPr>
      <w:tblGrid>
        <w:gridCol w:w="1584"/>
        <w:gridCol w:w="1584"/>
        <w:gridCol w:w="1584"/>
        <w:gridCol w:w="1584"/>
        <w:gridCol w:w="1584"/>
      </w:tblGrid>
      <w:tr>
        <w:trPr>
          <w:tblHeader w:val="true"/>
        </w:trPr>
        <w:tc>
          <w:tcPr/>
          <w:p>
            <w:pPr>
              <w:pStyle w:val="Compact"/>
              <w:jc w:val="left"/>
            </w:pPr>
            <w:r>
              <w:t xml:space="preserve">Activity Data Category</w:t>
            </w:r>
          </w:p>
        </w:tc>
        <w:tc>
          <w:tcPr/>
          <w:p>
            <w:pPr>
              <w:pStyle w:val="Compact"/>
              <w:jc w:val="left"/>
            </w:pPr>
            <w:r>
              <w:t xml:space="preserve">Item</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Remarks</w:t>
            </w:r>
          </w:p>
        </w:tc>
      </w:tr>
      <w:tr>
        <w:tc>
          <w:tcPr>
            <w:vMerge w:val="restart"/>
          </w:tcPr>
          <w:p>
            <w:pPr>
              <w:pStyle w:val="Compact"/>
              <w:jc w:val="left"/>
            </w:pPr>
            <w:r>
              <w:rPr>
                <w:bCs/>
                <w:b/>
              </w:rPr>
              <w:t xml:space="preserve">Materials &amp; Components</w:t>
            </w:r>
          </w:p>
        </w:tc>
        <w:tc>
          <w:tcPr/>
          <w:p>
            <w:pPr>
              <w:pStyle w:val="Compact"/>
              <w:jc w:val="left"/>
            </w:pPr>
            <w:r>
              <w:t xml:space="preserve">Li-ion Battery Cells (incl. active materials, casing, etc.)</w:t>
            </w:r>
          </w:p>
        </w:tc>
        <w:tc>
          <w:tcPr/>
          <w:p>
            <w:pPr>
              <w:pStyle w:val="Compact"/>
              <w:jc w:val="left"/>
            </w:pPr>
            <w:r>
              <w:t xml:space="preserve">300</w:t>
            </w:r>
          </w:p>
        </w:tc>
        <w:tc>
          <w:tcPr/>
          <w:p>
            <w:pPr>
              <w:pStyle w:val="Compact"/>
              <w:jc w:val="left"/>
            </w:pPr>
            <w:r>
              <w:t xml:space="preserve">g</w:t>
            </w:r>
          </w:p>
        </w:tc>
        <w:tc>
          <w:tcPr/>
          <w:p>
            <w:pPr>
              <w:pStyle w:val="Compact"/>
              <w:jc w:val="left"/>
            </w:pPr>
            <w:r>
              <w:t xml:space="preserve">Composite value for cell production.</w:t>
            </w:r>
          </w:p>
        </w:tc>
      </w:tr>
      <w:tr>
        <w:tc>
          <w:tcPr>
            <w:gridSpan w:val="1"/>
            <w:vMerge w:val="continue"/>
          </w:tcPr>
          <w:p>
            <w:pPr/>
          </w:p>
        </w:tc>
        <w:tc>
          <w:tcPr/>
          <w:p>
            <w:pPr>
              <w:pStyle w:val="Compact"/>
              <w:jc w:val="left"/>
            </w:pPr>
            <w:r>
              <w:t xml:space="preserve">ABS Plastic (for casing)</w:t>
            </w:r>
          </w:p>
        </w:tc>
        <w:tc>
          <w:tcPr/>
          <w:p>
            <w:pPr>
              <w:pStyle w:val="Compact"/>
              <w:jc w:val="left"/>
            </w:pPr>
            <w:r>
              <w:t xml:space="preserve">125</w:t>
            </w:r>
          </w:p>
        </w:tc>
        <w:tc>
          <w:tcPr/>
          <w:p>
            <w:pPr>
              <w:pStyle w:val="Compact"/>
              <w:jc w:val="left"/>
            </w:pPr>
            <w:r>
              <w:t xml:space="preserve">g</w:t>
            </w:r>
          </w:p>
        </w:tc>
        <w:tc>
          <w:tcPr/>
          <w:p>
            <w:pPr>
              <w:pStyle w:val="Compact"/>
              <w:jc w:val="left"/>
            </w:pPr>
            <w:r>
              <w:t xml:space="preserve">Common casing material.</w:t>
            </w:r>
          </w:p>
        </w:tc>
      </w:tr>
      <w:tr>
        <w:tc>
          <w:tcPr>
            <w:gridSpan w:val="1"/>
            <w:vMerge w:val="continue"/>
          </w:tcPr>
          <w:p>
            <w:pPr/>
          </w:p>
        </w:tc>
        <w:tc>
          <w:tcPr/>
          <w:p>
            <w:pPr>
              <w:pStyle w:val="Compact"/>
              <w:jc w:val="left"/>
            </w:pPr>
            <w:r>
              <w:t xml:space="preserve">FR-4 PCB (bare board)</w:t>
            </w:r>
          </w:p>
        </w:tc>
        <w:tc>
          <w:tcPr/>
          <w:p>
            <w:pPr>
              <w:pStyle w:val="Compact"/>
              <w:jc w:val="left"/>
            </w:pPr>
            <w:r>
              <w:t xml:space="preserve">40</w:t>
            </w:r>
          </w:p>
        </w:tc>
        <w:tc>
          <w:tcPr/>
          <w:p>
            <w:pPr>
              <w:pStyle w:val="Compact"/>
              <w:jc w:val="left"/>
            </w:pPr>
            <w:r>
              <w:t xml:space="preserve">g</w:t>
            </w:r>
          </w:p>
        </w:tc>
        <w:tc>
          <w:tcPr/>
          <w:p>
            <w:pPr>
              <w:pStyle w:val="Compact"/>
              <w:jc w:val="left"/>
            </w:pPr>
            <w:r>
              <w:t xml:space="preserve">Approximate weight for board, excluding components.</w:t>
            </w:r>
          </w:p>
        </w:tc>
      </w:tr>
      <w:tr>
        <w:tc>
          <w:tcPr>
            <w:gridSpan w:val="1"/>
            <w:vMerge w:val="continue"/>
          </w:tcPr>
          <w:p>
            <w:pPr/>
          </w:p>
        </w:tc>
        <w:tc>
          <w:tcPr/>
          <w:p>
            <w:pPr>
              <w:pStyle w:val="Compact"/>
              <w:jc w:val="left"/>
            </w:pPr>
            <w:r>
              <w:t xml:space="preserve">Copper (PCBA traces, cables)</w:t>
            </w:r>
          </w:p>
        </w:tc>
        <w:tc>
          <w:tcPr/>
          <w:p>
            <w:pPr>
              <w:pStyle w:val="Compact"/>
              <w:jc w:val="left"/>
            </w:pPr>
            <w:r>
              <w:t xml:space="preserve">15</w:t>
            </w:r>
          </w:p>
        </w:tc>
        <w:tc>
          <w:tcPr/>
          <w:p>
            <w:pPr>
              <w:pStyle w:val="Compact"/>
              <w:jc w:val="left"/>
            </w:pPr>
            <w:r>
              <w:t xml:space="preserve">g</w:t>
            </w:r>
          </w:p>
        </w:tc>
        <w:tc>
          <w:tcPr/>
          <w:p>
            <w:pPr>
              <w:pStyle w:val="Compact"/>
              <w:jc w:val="left"/>
            </w:pPr>
            <w:r>
              <w:t xml:space="preserve">Estimated total copper content.</w:t>
            </w:r>
          </w:p>
        </w:tc>
      </w:tr>
      <w:tr>
        <w:tc>
          <w:tcPr>
            <w:gridSpan w:val="1"/>
            <w:vMerge w:val="continue"/>
          </w:tcPr>
          <w:p>
            <w:pPr/>
          </w:p>
        </w:tc>
        <w:tc>
          <w:tcPr/>
          <w:p>
            <w:pPr>
              <w:pStyle w:val="Compact"/>
              <w:jc w:val="left"/>
            </w:pPr>
            <w:r>
              <w:t xml:space="preserve">Silicon (integrated circuits, chips)</w:t>
            </w:r>
          </w:p>
        </w:tc>
        <w:tc>
          <w:tcPr/>
          <w:p>
            <w:pPr>
              <w:pStyle w:val="Compact"/>
              <w:jc w:val="left"/>
            </w:pPr>
            <w:r>
              <w:t xml:space="preserve">10</w:t>
            </w:r>
          </w:p>
        </w:tc>
        <w:tc>
          <w:tcPr/>
          <w:p>
            <w:pPr>
              <w:pStyle w:val="Compact"/>
              <w:jc w:val="left"/>
            </w:pPr>
            <w:r>
              <w:t xml:space="preserve">g</w:t>
            </w:r>
          </w:p>
        </w:tc>
        <w:tc>
          <w:tcPr/>
          <w:p>
            <w:pPr>
              <w:pStyle w:val="Compact"/>
              <w:jc w:val="left"/>
            </w:pPr>
            <w:r>
              <w:t xml:space="preserve">Small quantity but high impact.</w:t>
            </w:r>
          </w:p>
        </w:tc>
      </w:tr>
      <w:tr>
        <w:tc>
          <w:tcPr>
            <w:gridSpan w:val="1"/>
            <w:vMerge w:val="continue"/>
          </w:tcPr>
          <w:p>
            <w:pPr/>
          </w:p>
        </w:tc>
        <w:tc>
          <w:tcPr/>
          <w:p>
            <w:pPr>
              <w:pStyle w:val="Compact"/>
              <w:jc w:val="left"/>
            </w:pPr>
            <w:r>
              <w:t xml:space="preserve">Other Electronic Components (passive)</w:t>
            </w:r>
          </w:p>
        </w:tc>
        <w:tc>
          <w:tcPr/>
          <w:p>
            <w:pPr>
              <w:pStyle w:val="Compact"/>
              <w:jc w:val="left"/>
            </w:pPr>
            <w:r>
              <w:t xml:space="preserve">5</w:t>
            </w:r>
          </w:p>
        </w:tc>
        <w:tc>
          <w:tcPr/>
          <w:p>
            <w:pPr>
              <w:pStyle w:val="Compact"/>
              <w:jc w:val="left"/>
            </w:pPr>
            <w:r>
              <w:t xml:space="preserve">g</w:t>
            </w:r>
          </w:p>
        </w:tc>
        <w:tc>
          <w:tcPr/>
          <w:p>
            <w:pPr>
              <w:pStyle w:val="Compact"/>
              <w:jc w:val="left"/>
            </w:pPr>
            <w:r>
              <w:t xml:space="preserve">Resistors, capacitors, etc.</w:t>
            </w:r>
          </w:p>
        </w:tc>
      </w:tr>
      <w:tr>
        <w:tc>
          <w:tcPr>
            <w:gridSpan w:val="1"/>
            <w:vMerge w:val="continue"/>
          </w:tcPr>
          <w:p>
            <w:pPr/>
          </w:p>
        </w:tc>
        <w:tc>
          <w:tcPr/>
          <w:p>
            <w:pPr>
              <w:pStyle w:val="Compact"/>
              <w:jc w:val="left"/>
            </w:pPr>
            <w:r>
              <w:t xml:space="preserve">Cardboard Packaging</w:t>
            </w:r>
          </w:p>
        </w:tc>
        <w:tc>
          <w:tcPr/>
          <w:p>
            <w:pPr>
              <w:pStyle w:val="Compact"/>
              <w:jc w:val="left"/>
            </w:pPr>
            <w:r>
              <w:t xml:space="preserve">10</w:t>
            </w:r>
          </w:p>
        </w:tc>
        <w:tc>
          <w:tcPr/>
          <w:p>
            <w:pPr>
              <w:pStyle w:val="Compact"/>
              <w:jc w:val="left"/>
            </w:pPr>
            <w:r>
              <w:t xml:space="preserve">g</w:t>
            </w:r>
          </w:p>
        </w:tc>
        <w:tc>
          <w:tcPr/>
          <w:p>
            <w:pPr>
              <w:pStyle w:val="Compact"/>
              <w:jc w:val="left"/>
            </w:pPr>
            <w:r>
              <w:t xml:space="preserve">Primary packaging.</w:t>
            </w:r>
          </w:p>
        </w:tc>
      </w:tr>
      <w:tr>
        <w:tc>
          <w:tcPr/>
          <w:p>
            <w:pPr>
              <w:pStyle w:val="Compact"/>
              <w:jc w:val="left"/>
            </w:pPr>
            <w:r>
              <w:rPr>
                <w:bCs/>
                <w:b/>
              </w:rPr>
              <w:t xml:space="preserve">Manufacturing Energy</w:t>
            </w:r>
          </w:p>
        </w:tc>
        <w:tc>
          <w:tcPr/>
          <w:p>
            <w:pPr>
              <w:pStyle w:val="Compact"/>
              <w:jc w:val="left"/>
            </w:pPr>
            <w:r>
              <w:t xml:space="preserve">Electricity at Netherlands factory</w:t>
            </w:r>
          </w:p>
        </w:tc>
        <w:tc>
          <w:tcPr/>
          <w:p>
            <w:pPr>
              <w:pStyle w:val="Compact"/>
              <w:jc w:val="left"/>
            </w:pPr>
            <w:r>
              <w:t xml:space="preserve">0.15</w:t>
            </w:r>
          </w:p>
        </w:tc>
        <w:tc>
          <w:tcPr/>
          <w:p>
            <w:pPr>
              <w:pStyle w:val="Compact"/>
              <w:jc w:val="left"/>
            </w:pPr>
            <w:r>
              <w:t xml:space="preserve">kWh/unit</w:t>
            </w:r>
          </w:p>
        </w:tc>
        <w:tc>
          <w:tcPr/>
          <w:p>
            <w:pPr>
              <w:pStyle w:val="Compact"/>
              <w:jc w:val="left"/>
            </w:pPr>
            <w:r>
              <w:t xml:space="preserve">Estimated energy for final assembly, testing, and packaging.</w:t>
            </w:r>
          </w:p>
        </w:tc>
      </w:tr>
      <w:tr>
        <w:tc>
          <w:tcPr>
            <w:vMerge w:val="restart"/>
          </w:tcPr>
          <w:p>
            <w:pPr>
              <w:pStyle w:val="Compact"/>
              <w:jc w:val="left"/>
            </w:pPr>
            <w:r>
              <w:rPr>
                <w:bCs/>
                <w:b/>
              </w:rPr>
              <w:t xml:space="preserve">Transportation</w:t>
            </w:r>
          </w:p>
        </w:tc>
        <w:tc>
          <w:tcPr/>
          <w:p>
            <w:pPr>
              <w:pStyle w:val="Compact"/>
              <w:jc w:val="left"/>
            </w:pPr>
            <w:r>
              <w:t xml:space="preserve">Sea Freight (components from Asia/Global)</w:t>
            </w:r>
          </w:p>
        </w:tc>
        <w:tc>
          <w:tcPr/>
          <w:p>
            <w:pPr>
              <w:pStyle w:val="Compact"/>
              <w:jc w:val="left"/>
            </w:pPr>
            <w:r>
              <w:t xml:space="preserve">5000</w:t>
            </w:r>
          </w:p>
        </w:tc>
        <w:tc>
          <w:tcPr/>
          <w:p>
            <w:pPr>
              <w:pStyle w:val="Compact"/>
              <w:jc w:val="left"/>
            </w:pPr>
            <w:r>
              <w:t xml:space="preserve">km (per tonne)</w:t>
            </w:r>
          </w:p>
        </w:tc>
        <w:tc>
          <w:tcPr/>
          <w:p>
            <w:pPr>
              <w:pStyle w:val="Compact"/>
              <w:jc w:val="left"/>
            </w:pPr>
            <w:r>
              <w:t xml:space="preserve">Illustrative average distance to Europe.</w:t>
            </w:r>
          </w:p>
        </w:tc>
      </w:tr>
      <w:tr>
        <w:tc>
          <w:tcPr>
            <w:gridSpan w:val="1"/>
            <w:vMerge w:val="continue"/>
          </w:tcPr>
          <w:p>
            <w:pPr/>
          </w:p>
        </w:tc>
        <w:tc>
          <w:tcPr/>
          <w:p>
            <w:pPr>
              <w:pStyle w:val="Compact"/>
              <w:jc w:val="left"/>
            </w:pPr>
            <w:r>
              <w:t xml:space="preserve">Road Freight (components within Europe)</w:t>
            </w:r>
          </w:p>
        </w:tc>
        <w:tc>
          <w:tcPr/>
          <w:p>
            <w:pPr>
              <w:pStyle w:val="Compact"/>
              <w:jc w:val="left"/>
            </w:pPr>
            <w:r>
              <w:t xml:space="preserve">500</w:t>
            </w:r>
          </w:p>
        </w:tc>
        <w:tc>
          <w:tcPr/>
          <w:p>
            <w:pPr>
              <w:pStyle w:val="Compact"/>
              <w:jc w:val="left"/>
            </w:pPr>
            <w:r>
              <w:t xml:space="preserve">km (per tonne)</w:t>
            </w:r>
          </w:p>
        </w:tc>
        <w:tc>
          <w:tcPr/>
          <w:p>
            <w:pPr>
              <w:pStyle w:val="Compact"/>
              <w:jc w:val="left"/>
            </w:pPr>
            <w:r>
              <w:t xml:space="preserve">Illustrative average distance to Netherlands factory.</w:t>
            </w:r>
          </w:p>
        </w:tc>
      </w:tr>
    </w:tbl>
    <w:p>
      <w:r>
        <w:pict>
          <v:rect style="width:0;height:1.5pt" o:hralign="center" o:hrstd="t" o:hr="t"/>
        </w:pict>
      </w:r>
    </w:p>
    <w:bookmarkEnd w:id="32"/>
    <w:bookmarkEnd w:id="33"/>
    <w:bookmarkEnd w:id="34"/>
    <w:bookmarkStart w:id="43" w:name="Xb404f6bea4a0013006ec7a9103609d9ea6643c1"/>
    <w:p>
      <w:pPr>
        <w:pStyle w:val="Heading2"/>
      </w:pPr>
      <w:r>
        <w:t xml:space="preserve">4. Calculate Emissions (Activity * Emission Factor = CO2e)</w:t>
      </w:r>
    </w:p>
    <w:p>
      <w:pPr>
        <w:pStyle w:val="FirstParagraph"/>
      </w:pPr>
      <w:r>
        <w:t xml:space="preserve">Emissions are calculated by multiplying the activity data by relevant emission factors (EFs), typically expressed in kg CO2e/unit of activity (e.g., kg CO2e/kg material, kg CO2e/kWh electricity, kg CO2e/tonne-km transport). All emissions are reported in carbon dioxide equivalents (CO2e) using a 100-year global warming potential (GWP100) timeframe.</w:t>
      </w:r>
    </w:p>
    <w:bookmarkStart w:id="35" w:name="X70706fe3ab11420620b3a045fa2a721d9efd165"/>
    <w:p>
      <w:pPr>
        <w:pStyle w:val="Heading3"/>
      </w:pPr>
      <w:r>
        <w:t xml:space="preserve">Industry-Standard Emission Factors Used (Illustrative)</w:t>
      </w:r>
    </w:p>
    <w:p>
      <w:pPr>
        <w:pStyle w:val="FirstParagraph"/>
      </w:pPr>
      <w:r>
        <w:t xml:space="preserve">The following table lists the representative emission factors assumed for this analysis, primarily drawing from Ecoinvent and DEFRA databases where possible.</w:t>
      </w:r>
    </w:p>
    <w:tbl>
      <w:tblPr>
        <w:tblStyle w:val="Table"/>
        <w:tblW w:type="auto" w:w="0"/>
        <w:tblLook w:firstRow="1" w:lastRow="0" w:firstColumn="0" w:lastColumn="0" w:noHBand="0" w:noVBand="0" w:val="0020"/>
        <w:jc w:val="start"/>
      </w:tblPr>
      <w:tblGrid>
        <w:gridCol w:w="1584"/>
        <w:gridCol w:w="1584"/>
        <w:gridCol w:w="1584"/>
        <w:gridCol w:w="1584"/>
        <w:gridCol w:w="1584"/>
      </w:tblGrid>
      <w:tr>
        <w:trPr>
          <w:tblHeader w:val="true"/>
        </w:trPr>
        <w:tc>
          <w:tcPr/>
          <w:p>
            <w:pPr>
              <w:pStyle w:val="Compact"/>
              <w:jc w:val="left"/>
            </w:pPr>
            <w:r>
              <w:t xml:space="preserve">Category</w:t>
            </w:r>
          </w:p>
        </w:tc>
        <w:tc>
          <w:tcPr/>
          <w:p>
            <w:pPr>
              <w:pStyle w:val="Compact"/>
              <w:jc w:val="left"/>
            </w:pPr>
            <w:r>
              <w:t xml:space="preserve">Item</w:t>
            </w:r>
          </w:p>
        </w:tc>
        <w:tc>
          <w:tcPr/>
          <w:p>
            <w:pPr>
              <w:pStyle w:val="Compact"/>
              <w:jc w:val="left"/>
            </w:pPr>
            <w:r>
              <w:t xml:space="preserve">Emission Factor (EF)</w:t>
            </w:r>
          </w:p>
        </w:tc>
        <w:tc>
          <w:tcPr/>
          <w:p>
            <w:pPr>
              <w:pStyle w:val="Compact"/>
              <w:jc w:val="left"/>
            </w:pPr>
            <w:r>
              <w:t xml:space="preserve">Unit</w:t>
            </w:r>
          </w:p>
        </w:tc>
        <w:tc>
          <w:tcPr/>
          <w:p>
            <w:pPr>
              <w:pStyle w:val="Compact"/>
              <w:jc w:val="left"/>
            </w:pPr>
            <w:r>
              <w:t xml:space="preserve">Source (Illustrative)</w:t>
            </w:r>
          </w:p>
        </w:tc>
      </w:tr>
      <w:tr>
        <w:tc>
          <w:tcPr>
            <w:vMerge w:val="restart"/>
          </w:tcPr>
          <w:p>
            <w:pPr>
              <w:pStyle w:val="Compact"/>
              <w:jc w:val="left"/>
            </w:pPr>
            <w:r>
              <w:rPr>
                <w:bCs/>
                <w:b/>
              </w:rPr>
              <w:t xml:space="preserve">Materials &amp; Components</w:t>
            </w:r>
          </w:p>
        </w:tc>
        <w:tc>
          <w:tcPr/>
          <w:p>
            <w:pPr>
              <w:pStyle w:val="Compact"/>
              <w:jc w:val="left"/>
            </w:pPr>
            <w:r>
              <w:t xml:space="preserve">Li-ion Battery Cells (composite for materials &amp; production)</w:t>
            </w:r>
          </w:p>
        </w:tc>
        <w:tc>
          <w:tcPr/>
          <w:p>
            <w:pPr>
              <w:pStyle w:val="Compact"/>
              <w:jc w:val="left"/>
            </w:pPr>
            <w:r>
              <w:t xml:space="preserve">25.0</w:t>
            </w:r>
          </w:p>
        </w:tc>
        <w:tc>
          <w:tcPr/>
          <w:p>
            <w:pPr>
              <w:pStyle w:val="Compact"/>
              <w:jc w:val="left"/>
            </w:pPr>
            <w:r>
              <w:t xml:space="preserve">kg CO2e/kg</w:t>
            </w:r>
          </w:p>
        </w:tc>
        <w:tc>
          <w:tcPr/>
          <w:p>
            <w:pPr>
              <w:pStyle w:val="Compact"/>
              <w:jc w:val="left"/>
            </w:pPr>
            <w:r>
              <w:t xml:space="preserve">Ecoinvent (composite estimate, high impact)</w:t>
            </w:r>
          </w:p>
        </w:tc>
      </w:tr>
      <w:tr>
        <w:tc>
          <w:tcPr>
            <w:gridSpan w:val="1"/>
            <w:vMerge w:val="continue"/>
          </w:tcPr>
          <w:p>
            <w:pPr/>
          </w:p>
        </w:tc>
        <w:tc>
          <w:tcPr/>
          <w:p>
            <w:pPr>
              <w:pStyle w:val="Compact"/>
              <w:jc w:val="left"/>
            </w:pPr>
            <w:r>
              <w:t xml:space="preserve">ABS Plastic (virgin)</w:t>
            </w:r>
          </w:p>
        </w:tc>
        <w:tc>
          <w:tcPr/>
          <w:p>
            <w:pPr>
              <w:pStyle w:val="Compact"/>
              <w:jc w:val="left"/>
            </w:pPr>
            <w:r>
              <w:t xml:space="preserve">3.0</w:t>
            </w:r>
          </w:p>
        </w:tc>
        <w:tc>
          <w:tcPr/>
          <w:p>
            <w:pPr>
              <w:pStyle w:val="Compact"/>
              <w:jc w:val="left"/>
            </w:pPr>
            <w:r>
              <w:t xml:space="preserve">kg CO2e/kg</w:t>
            </w:r>
          </w:p>
        </w:tc>
        <w:tc>
          <w:tcPr/>
          <w:p>
            <w:pPr>
              <w:pStyle w:val="Compact"/>
              <w:jc w:val="left"/>
            </w:pPr>
            <w:r>
              <w:t xml:space="preserve">Ecoinvent</w:t>
            </w:r>
          </w:p>
        </w:tc>
      </w:tr>
      <w:tr>
        <w:tc>
          <w:tcPr>
            <w:gridSpan w:val="1"/>
            <w:vMerge w:val="continue"/>
          </w:tcPr>
          <w:p>
            <w:pPr/>
          </w:p>
        </w:tc>
        <w:tc>
          <w:tcPr/>
          <w:p>
            <w:pPr>
              <w:pStyle w:val="Compact"/>
              <w:jc w:val="left"/>
            </w:pPr>
            <w:r>
              <w:t xml:space="preserve">FR-4 PCB (bare board production)</w:t>
            </w:r>
          </w:p>
        </w:tc>
        <w:tc>
          <w:tcPr/>
          <w:p>
            <w:pPr>
              <w:pStyle w:val="Compact"/>
              <w:jc w:val="left"/>
            </w:pPr>
            <w:r>
              <w:t xml:space="preserve">15.0</w:t>
            </w:r>
          </w:p>
        </w:tc>
        <w:tc>
          <w:tcPr/>
          <w:p>
            <w:pPr>
              <w:pStyle w:val="Compact"/>
              <w:jc w:val="left"/>
            </w:pPr>
            <w:r>
              <w:t xml:space="preserve">kg CO2e/kg</w:t>
            </w:r>
          </w:p>
        </w:tc>
        <w:tc>
          <w:tcPr/>
          <w:p>
            <w:pPr>
              <w:pStyle w:val="Compact"/>
              <w:jc w:val="left"/>
            </w:pPr>
            <w:r>
              <w:t xml:space="preserve">Ecoinvent (estimated based on kg/m2 factor)</w:t>
            </w:r>
          </w:p>
        </w:tc>
      </w:tr>
      <w:tr>
        <w:tc>
          <w:tcPr>
            <w:gridSpan w:val="1"/>
            <w:vMerge w:val="continue"/>
          </w:tcPr>
          <w:p>
            <w:pPr/>
          </w:p>
        </w:tc>
        <w:tc>
          <w:tcPr/>
          <w:p>
            <w:pPr>
              <w:pStyle w:val="Compact"/>
              <w:jc w:val="left"/>
            </w:pPr>
            <w:r>
              <w:t xml:space="preserve">Copper (cathode production)</w:t>
            </w:r>
          </w:p>
        </w:tc>
        <w:tc>
          <w:tcPr/>
          <w:p>
            <w:pPr>
              <w:pStyle w:val="Compact"/>
              <w:jc w:val="left"/>
            </w:pPr>
            <w:r>
              <w:t xml:space="preserve">2.7</w:t>
            </w:r>
          </w:p>
        </w:tc>
        <w:tc>
          <w:tcPr/>
          <w:p>
            <w:pPr>
              <w:pStyle w:val="Compact"/>
              <w:jc w:val="left"/>
            </w:pPr>
            <w:r>
              <w:t xml:space="preserve">kg CO2e/kg</w:t>
            </w:r>
          </w:p>
        </w:tc>
        <w:tc>
          <w:tcPr/>
          <w:p>
            <w:pPr>
              <w:pStyle w:val="Compact"/>
              <w:jc w:val="left"/>
            </w:pPr>
            <w:r>
              <w:t xml:space="preserve">Ecoinvent</w:t>
            </w:r>
          </w:p>
        </w:tc>
      </w:tr>
      <w:tr>
        <w:tc>
          <w:tcPr>
            <w:gridSpan w:val="1"/>
            <w:vMerge w:val="continue"/>
          </w:tcPr>
          <w:p>
            <w:pPr/>
          </w:p>
        </w:tc>
        <w:tc>
          <w:tcPr/>
          <w:p>
            <w:pPr>
              <w:pStyle w:val="Compact"/>
              <w:jc w:val="left"/>
            </w:pPr>
            <w:r>
              <w:t xml:space="preserve">Silicon (electronics grade/wafer production)</w:t>
            </w:r>
          </w:p>
        </w:tc>
        <w:tc>
          <w:tcPr/>
          <w:p>
            <w:pPr>
              <w:pStyle w:val="Compact"/>
              <w:jc w:val="left"/>
            </w:pPr>
            <w:r>
              <w:t xml:space="preserve">150.0</w:t>
            </w:r>
          </w:p>
        </w:tc>
        <w:tc>
          <w:tcPr/>
          <w:p>
            <w:pPr>
              <w:pStyle w:val="Compact"/>
              <w:jc w:val="left"/>
            </w:pPr>
            <w:r>
              <w:t xml:space="preserve">kg CO2e/kg</w:t>
            </w:r>
          </w:p>
        </w:tc>
        <w:tc>
          <w:tcPr/>
          <w:p>
            <w:pPr>
              <w:pStyle w:val="Compact"/>
              <w:jc w:val="left"/>
            </w:pPr>
            <w:r>
              <w:t xml:space="preserve">Ecoinvent (high energy process for wafers/chips)</w:t>
            </w:r>
          </w:p>
        </w:tc>
      </w:tr>
      <w:tr>
        <w:tc>
          <w:tcPr>
            <w:gridSpan w:val="1"/>
            <w:vMerge w:val="continue"/>
          </w:tcPr>
          <w:p>
            <w:pPr/>
          </w:p>
        </w:tc>
        <w:tc>
          <w:tcPr/>
          <w:p>
            <w:pPr>
              <w:pStyle w:val="Compact"/>
              <w:jc w:val="left"/>
            </w:pPr>
            <w:r>
              <w:t xml:space="preserve">Cardboard (mixed virgin/recycled)</w:t>
            </w:r>
          </w:p>
        </w:tc>
        <w:tc>
          <w:tcPr/>
          <w:p>
            <w:pPr>
              <w:pStyle w:val="Compact"/>
              <w:jc w:val="left"/>
            </w:pPr>
            <w:r>
              <w:t xml:space="preserve">0.6</w:t>
            </w:r>
          </w:p>
        </w:tc>
        <w:tc>
          <w:tcPr/>
          <w:p>
            <w:pPr>
              <w:pStyle w:val="Compact"/>
              <w:jc w:val="left"/>
            </w:pPr>
            <w:r>
              <w:t xml:space="preserve">kg CO2e/kg</w:t>
            </w:r>
          </w:p>
        </w:tc>
        <w:tc>
          <w:tcPr/>
          <w:p>
            <w:pPr>
              <w:pStyle w:val="Compact"/>
              <w:jc w:val="left"/>
            </w:pPr>
            <w:r>
              <w:t xml:space="preserve">Ecoinvent/DEFRA</w:t>
            </w:r>
          </w:p>
        </w:tc>
      </w:tr>
      <w:tr>
        <w:tc>
          <w:tcPr/>
          <w:p>
            <w:pPr>
              <w:pStyle w:val="Compact"/>
              <w:jc w:val="left"/>
            </w:pPr>
            <w:r>
              <w:rPr>
                <w:bCs/>
                <w:b/>
              </w:rPr>
              <w:t xml:space="preserve">Energy</w:t>
            </w:r>
          </w:p>
        </w:tc>
        <w:tc>
          <w:tcPr/>
          <w:p>
            <w:pPr>
              <w:pStyle w:val="Compact"/>
              <w:jc w:val="left"/>
            </w:pPr>
            <w:r>
              <w:t xml:space="preserve">Electricity Grid Mix (Netherlands)</w:t>
            </w:r>
          </w:p>
        </w:tc>
        <w:tc>
          <w:tcPr/>
          <w:p>
            <w:pPr>
              <w:pStyle w:val="Compact"/>
              <w:jc w:val="left"/>
            </w:pPr>
            <w:r>
              <w:t xml:space="preserve">0.4</w:t>
            </w:r>
          </w:p>
        </w:tc>
        <w:tc>
          <w:tcPr/>
          <w:p>
            <w:pPr>
              <w:pStyle w:val="Compact"/>
              <w:jc w:val="left"/>
            </w:pPr>
            <w:r>
              <w:t xml:space="preserve">kg CO2e/kWh</w:t>
            </w:r>
          </w:p>
        </w:tc>
        <w:tc>
          <w:tcPr/>
          <w:p>
            <w:pPr>
              <w:pStyle w:val="Compact"/>
              <w:jc w:val="left"/>
            </w:pPr>
            <w:r>
              <w:t xml:space="preserve">Ecoinvent (average grid mix for NL)</w:t>
            </w:r>
          </w:p>
        </w:tc>
      </w:tr>
      <w:tr>
        <w:tc>
          <w:tcPr>
            <w:vMerge w:val="restart"/>
          </w:tcPr>
          <w:p>
            <w:pPr>
              <w:pStyle w:val="Compact"/>
              <w:jc w:val="left"/>
            </w:pPr>
            <w:r>
              <w:rPr>
                <w:bCs/>
                <w:b/>
              </w:rPr>
              <w:t xml:space="preserve">Transportation</w:t>
            </w:r>
          </w:p>
        </w:tc>
        <w:tc>
          <w:tcPr/>
          <w:p>
            <w:pPr>
              <w:pStyle w:val="Compact"/>
              <w:jc w:val="left"/>
            </w:pPr>
            <w:r>
              <w:t xml:space="preserve">Sea Freight (container ship)</w:t>
            </w:r>
          </w:p>
        </w:tc>
        <w:tc>
          <w:tcPr/>
          <w:p>
            <w:pPr>
              <w:pStyle w:val="Compact"/>
              <w:jc w:val="left"/>
            </w:pPr>
            <w:r>
              <w:t xml:space="preserve">0.01</w:t>
            </w:r>
          </w:p>
        </w:tc>
        <w:tc>
          <w:tcPr/>
          <w:p>
            <w:pPr>
              <w:pStyle w:val="Compact"/>
              <w:jc w:val="left"/>
            </w:pPr>
            <w:r>
              <w:t xml:space="preserve">kg CO2e/tonne-km</w:t>
            </w:r>
          </w:p>
        </w:tc>
        <w:tc>
          <w:tcPr/>
          <w:p>
            <w:pPr>
              <w:pStyle w:val="Compact"/>
              <w:jc w:val="left"/>
            </w:pPr>
            <w:r>
              <w:t xml:space="preserve">DEFRA (global average)</w:t>
            </w:r>
          </w:p>
        </w:tc>
      </w:tr>
      <w:tr>
        <w:tc>
          <w:tcPr>
            <w:gridSpan w:val="1"/>
            <w:vMerge w:val="continue"/>
          </w:tcPr>
          <w:p>
            <w:pPr/>
          </w:p>
        </w:tc>
        <w:tc>
          <w:tcPr/>
          <w:p>
            <w:pPr>
              <w:pStyle w:val="Compact"/>
              <w:jc w:val="left"/>
            </w:pPr>
            <w:r>
              <w:t xml:space="preserve">Road Freight (HGV &gt;20t, Europe, diesel)</w:t>
            </w:r>
          </w:p>
        </w:tc>
        <w:tc>
          <w:tcPr/>
          <w:p>
            <w:pPr>
              <w:pStyle w:val="Compact"/>
              <w:jc w:val="left"/>
            </w:pPr>
            <w:r>
              <w:t xml:space="preserve">0.08</w:t>
            </w:r>
          </w:p>
        </w:tc>
        <w:tc>
          <w:tcPr/>
          <w:p>
            <w:pPr>
              <w:pStyle w:val="Compact"/>
              <w:jc w:val="left"/>
            </w:pPr>
            <w:r>
              <w:t xml:space="preserve">kg CO2e/tonne-km</w:t>
            </w:r>
          </w:p>
        </w:tc>
        <w:tc>
          <w:tcPr/>
          <w:p>
            <w:pPr>
              <w:pStyle w:val="Compact"/>
              <w:jc w:val="left"/>
            </w:pPr>
            <w:r>
              <w:t xml:space="preserve">Ecoinvent/GLEC</w:t>
            </w:r>
          </w:p>
        </w:tc>
      </w:tr>
    </w:tbl>
    <w:bookmarkEnd w:id="35"/>
    <w:bookmarkStart w:id="41" w:name="X85dfa9ce01024f62b349f2a504e13f950ab5bec"/>
    <w:p>
      <w:pPr>
        <w:pStyle w:val="Heading3"/>
      </w:pPr>
      <w:r>
        <w:t xml:space="preserve">GHG Protocol Scope Categorization and Calculation</w:t>
      </w:r>
    </w:p>
    <w:bookmarkStart w:id="36" w:name="scope-1-emissions-direct-emissions"/>
    <w:p>
      <w:pPr>
        <w:pStyle w:val="Heading4"/>
      </w:pPr>
      <w:r>
        <w:t xml:space="preserve">Scope 1 Emissions (Direct Emissions)</w:t>
      </w:r>
    </w:p>
    <w:p>
      <w:pPr>
        <w:pStyle w:val="FirstParagraph"/>
      </w:pPr>
      <w:r>
        <w:t xml:space="preserve">For a product PCF at the factory gate, Scope 1 emissions typically arise from sources owned or controlled by the reporting company at the manufacturing facility. In a modern electronics assembly plant in the Netherlands, direct fuel combustion on-site (e.g., for heating or company vehicles within the gate) is generally minimal compared to upstream emissions. For this analysis, assuming a lean assembly operation, direct Scope 1 emissions are considered negligible or embedded within purchased electricity (Scope 2) if minor on-site generation exists, or in upstream fuel supply (Scope 3, Category 3).</w:t>
      </w:r>
    </w:p>
    <w:bookmarkEnd w:id="36"/>
    <w:bookmarkStart w:id="37" w:name="scope-2-emissions-purchased-energy"/>
    <w:p>
      <w:pPr>
        <w:pStyle w:val="Heading4"/>
      </w:pPr>
      <w:r>
        <w:t xml:space="preserve">Scope 2 Emissions (Purchased Energy)</w:t>
      </w:r>
    </w:p>
    <w:p>
      <w:pPr>
        <w:pStyle w:val="FirstParagraph"/>
      </w:pPr>
      <w:r>
        <w:t xml:space="preserve">Scope 2 emissions account for GHG emissions from the generation of purchased electricity consumed by the reporting company. For the final assembly in the Netherlands, the electricity consumption (0.15 kWh/unit) multiplied by the Netherlands grid emission factor (0.4 kg CO2e/kWh) yields the Scope 2 emissions.</w:t>
      </w:r>
    </w:p>
    <w:p>
      <w:pPr>
        <w:numPr>
          <w:ilvl w:val="0"/>
          <w:numId w:val="1004"/>
        </w:numPr>
        <w:pStyle w:val="Compact"/>
      </w:pPr>
      <w:r>
        <w:rPr>
          <w:bCs/>
          <w:b/>
        </w:rPr>
        <w:t xml:space="preserve">Calculation:</w:t>
      </w:r>
      <w:r>
        <w:t xml:space="preserve"> </w:t>
      </w:r>
      <w:r>
        <w:t xml:space="preserve">0.15 kWh/unit * 0.4 kg CO2e/kWh = 0.06 kg CO2e/unit</w:t>
      </w:r>
    </w:p>
    <w:bookmarkEnd w:id="37"/>
    <w:bookmarkStart w:id="38" w:name="scope-3-emissions-value-chain-emissions"/>
    <w:p>
      <w:pPr>
        <w:pStyle w:val="Heading4"/>
      </w:pPr>
      <w:r>
        <w:t xml:space="preserve">Scope 3 Emissions (Value Chain Emissions)</w:t>
      </w:r>
    </w:p>
    <w:p>
      <w:pPr>
        <w:pStyle w:val="FirstParagraph"/>
      </w:pPr>
      <w:r>
        <w:t xml:space="preserve">Scope 3 emissions are all indirect emissions occurring in the value chain of the company, both upstream and downstream. Given the "factory_gate" boundary, this analysis primarily focuses on upstream Scope 3 categories:</w:t>
      </w:r>
    </w:p>
    <w:p>
      <w:pPr>
        <w:numPr>
          <w:ilvl w:val="0"/>
          <w:numId w:val="1005"/>
        </w:numPr>
        <w:pStyle w:val="Compact"/>
      </w:pPr>
      <w:r>
        <w:rPr>
          <w:bCs/>
          <w:b/>
        </w:rPr>
        <w:t xml:space="preserve">Category 1: Purchased Goods and Services:</w:t>
      </w:r>
      <w:r>
        <w:t xml:space="preserve"> </w:t>
      </w:r>
      <w:r>
        <w:t xml:space="preserve">This is typically the largest contributor, covering the emissions from the extraction, production, and primary transportation of all purchased raw materials and components (battery cells, plastics, PCBs, silicon, copper, other electronic components).</w:t>
      </w:r>
    </w:p>
    <w:p>
      <w:pPr>
        <w:numPr>
          <w:ilvl w:val="1"/>
          <w:numId w:val="1006"/>
        </w:numPr>
        <w:pStyle w:val="Compact"/>
      </w:pPr>
      <w:r>
        <w:rPr>
          <w:bCs/>
          <w:b/>
        </w:rPr>
        <w:t xml:space="preserve">Li-ion Battery Cells:</w:t>
      </w:r>
      <w:r>
        <w:t xml:space="preserve"> </w:t>
      </w:r>
      <w:r>
        <w:t xml:space="preserve">(300g / 1000) * 25.0 kg CO2e/kg = 7.50 kg CO2e</w:t>
      </w:r>
    </w:p>
    <w:p>
      <w:pPr>
        <w:numPr>
          <w:ilvl w:val="1"/>
          <w:numId w:val="1006"/>
        </w:numPr>
        <w:pStyle w:val="Compact"/>
      </w:pPr>
      <w:r>
        <w:rPr>
          <w:bCs/>
          <w:b/>
        </w:rPr>
        <w:t xml:space="preserve">ABS Plastic:</w:t>
      </w:r>
      <w:r>
        <w:t xml:space="preserve"> </w:t>
      </w:r>
      <w:r>
        <w:t xml:space="preserve">(125g / 1000) * 3.0 kg CO2e/kg = 0.38 kg CO2e</w:t>
      </w:r>
    </w:p>
    <w:p>
      <w:pPr>
        <w:numPr>
          <w:ilvl w:val="1"/>
          <w:numId w:val="1006"/>
        </w:numPr>
        <w:pStyle w:val="Compact"/>
      </w:pPr>
      <w:r>
        <w:rPr>
          <w:bCs/>
          <w:b/>
        </w:rPr>
        <w:t xml:space="preserve">FR-4 PCB:</w:t>
      </w:r>
      <w:r>
        <w:t xml:space="preserve"> </w:t>
      </w:r>
      <w:r>
        <w:t xml:space="preserve">(40g / 1000) * 15.0 kg CO2e/kg = 0.60 kg CO2e</w:t>
      </w:r>
    </w:p>
    <w:p>
      <w:pPr>
        <w:numPr>
          <w:ilvl w:val="1"/>
          <w:numId w:val="1006"/>
        </w:numPr>
        <w:pStyle w:val="Compact"/>
      </w:pPr>
      <w:r>
        <w:rPr>
          <w:bCs/>
          <w:b/>
        </w:rPr>
        <w:t xml:space="preserve">Copper:</w:t>
      </w:r>
      <w:r>
        <w:t xml:space="preserve"> </w:t>
      </w:r>
      <w:r>
        <w:t xml:space="preserve">(15g / 1000) * 2.7 kg CO2e/kg = 0.04 kg CO2e</w:t>
      </w:r>
    </w:p>
    <w:p>
      <w:pPr>
        <w:numPr>
          <w:ilvl w:val="1"/>
          <w:numId w:val="1006"/>
        </w:numPr>
        <w:pStyle w:val="Compact"/>
      </w:pPr>
      <w:r>
        <w:rPr>
          <w:bCs/>
          <w:b/>
        </w:rPr>
        <w:t xml:space="preserve">Silicon:</w:t>
      </w:r>
      <w:r>
        <w:t xml:space="preserve"> </w:t>
      </w:r>
      <w:r>
        <w:t xml:space="preserve">(10g / 1000) * 150.0 kg CO2e/kg = 1.50 kg CO2e</w:t>
      </w:r>
    </w:p>
    <w:p>
      <w:pPr>
        <w:numPr>
          <w:ilvl w:val="1"/>
          <w:numId w:val="1006"/>
        </w:numPr>
        <w:pStyle w:val="Compact"/>
      </w:pPr>
      <w:r>
        <w:rPr>
          <w:bCs/>
          <w:b/>
        </w:rPr>
        <w:t xml:space="preserve">Other Electronic Components:</w:t>
      </w:r>
      <w:r>
        <w:t xml:space="preserve"> </w:t>
      </w:r>
      <w:r>
        <w:t xml:space="preserve">(5g / 1000) * 10.0 kg CO2e/kg (estimated average) = 0.05 kg CO2e</w:t>
      </w:r>
    </w:p>
    <w:p>
      <w:pPr>
        <w:numPr>
          <w:ilvl w:val="1"/>
          <w:numId w:val="1006"/>
        </w:numPr>
        <w:pStyle w:val="Compact"/>
      </w:pPr>
      <w:r>
        <w:rPr>
          <w:bCs/>
          <w:b/>
        </w:rPr>
        <w:t xml:space="preserve">Cardboard Packaging:</w:t>
      </w:r>
      <w:r>
        <w:t xml:space="preserve"> </w:t>
      </w:r>
      <w:r>
        <w:t xml:space="preserve">(10g / 1000) * 0.6 kg CO2e/kg = 0.01 kg CO2e</w:t>
      </w:r>
    </w:p>
    <w:p>
      <w:pPr>
        <w:numPr>
          <w:ilvl w:val="1"/>
          <w:numId w:val="1006"/>
        </w:numPr>
        <w:pStyle w:val="Compact"/>
      </w:pPr>
      <w:r>
        <w:rPr>
          <w:bCs/>
          <w:b/>
        </w:rPr>
        <w:t xml:space="preserve">Subtotal Category 1:</w:t>
      </w:r>
      <w:r>
        <w:t xml:space="preserve"> </w:t>
      </w:r>
      <w:r>
        <w:t xml:space="preserve">7.50 + 0.38 + 0.60 + 0.04 + 1.50 + 0.05 + 0.01 = 10.08 kg CO2e</w:t>
      </w:r>
    </w:p>
    <w:p>
      <w:pPr>
        <w:numPr>
          <w:ilvl w:val="0"/>
          <w:numId w:val="1005"/>
        </w:numPr>
        <w:pStyle w:val="Compact"/>
      </w:pPr>
      <w:r>
        <w:rPr>
          <w:bCs/>
          <w:b/>
        </w:rPr>
        <w:t xml:space="preserve">Category 4: Upstream Transportation and Distribution:</w:t>
      </w:r>
      <w:r>
        <w:t xml:space="preserve"> </w:t>
      </w:r>
      <w:r>
        <w:t xml:space="preserve">Emissions from the transportation and distribution of purchased materials and components from suppliers to the reporting company\'s manufacturing facility.</w:t>
      </w:r>
    </w:p>
    <w:p>
      <w:pPr>
        <w:numPr>
          <w:ilvl w:val="1"/>
          <w:numId w:val="1007"/>
        </w:numPr>
        <w:pStyle w:val="Compact"/>
      </w:pPr>
      <w:r>
        <w:rPr>
          <w:bCs/>
          <w:b/>
        </w:rPr>
        <w:t xml:space="preserve">Sea Freight:</w:t>
      </w:r>
      <w:r>
        <w:t xml:space="preserve"> </w:t>
      </w:r>
      <w:r>
        <w:t xml:space="preserve">(500g / 1000) * 5000 km * 0.01 kg CO2e/tonne-km = 0.005 kg CO2e/kg * 5000 km = 2.50 kg CO2e (for 1 tonne, scale to 0.5kg) --&gt; (0.5 kg / 1000 kg/tonne) * 5000 km * 0.01 kg CO2e/tonne-km = 0.025 kg CO2e/unit</w:t>
      </w:r>
    </w:p>
    <w:p>
      <w:pPr>
        <w:numPr>
          <w:ilvl w:val="1"/>
          <w:numId w:val="1007"/>
        </w:numPr>
        <w:pStyle w:val="Compact"/>
      </w:pPr>
      <w:r>
        <w:rPr>
          <w:bCs/>
          <w:b/>
        </w:rPr>
        <w:t xml:space="preserve">Road Freight:</w:t>
      </w:r>
      <w:r>
        <w:t xml:space="preserve"> </w:t>
      </w:r>
      <w:r>
        <w:t xml:space="preserve">(500g / 1000) * 500 km * 0.08 kg CO2e/tonne-km = 0.04 kg CO2e/unit</w:t>
      </w:r>
    </w:p>
    <w:p>
      <w:pPr>
        <w:numPr>
          <w:ilvl w:val="1"/>
          <w:numId w:val="1007"/>
        </w:numPr>
        <w:pStyle w:val="Compact"/>
      </w:pPr>
      <w:r>
        <w:rPr>
          <w:bCs/>
          <w:b/>
        </w:rPr>
        <w:t xml:space="preserve">Subtotal Category 4:</w:t>
      </w:r>
      <w:r>
        <w:t xml:space="preserve"> </w:t>
      </w:r>
      <w:r>
        <w:t xml:space="preserve">0.025 + 0.04 = 0.065 kg CO2e</w:t>
      </w:r>
    </w:p>
    <w:bookmarkEnd w:id="38"/>
    <w:bookmarkStart w:id="39" w:name="X504f4a86e01fdcfa46a4589bb1b5e0cfaad8629"/>
    <w:p>
      <w:pPr>
        <w:pStyle w:val="Heading4"/>
      </w:pPr>
      <w:r>
        <w:t xml:space="preserve">2026 Land Sector and Removals (LSR) Standard Update</w:t>
      </w:r>
    </w:p>
    <w:p>
      <w:pPr>
        <w:pStyle w:val="FirstParagraph"/>
      </w:pPr>
      <w:r>
        <w:t xml:space="preserve">The GHG Protocol\'s Land Sector and Removals (LSR) Standard, effective January 1, 2027, provides requirements and guidance for accounting for land emissions, CO2 removals, and biogenic products. While the direct land use impacts for a power bank are primarily embedded within the raw materials extraction (e.g., mining for battery minerals, timber for packaging), this analysis acknowledges the standard\'s principles. For materials like cardboard packaging, biogenic carbon content and associated land use change emissions and removals (if applicable from sustainable forestry) would be accounted for under LSR. Given the factory_gate boundary and the dominance of non-biogenic materials, a detailed LSR calculation for each component is beyond the scope of this high-level assessment but its inclusion for completeness ensures future compliance. Emissions from land use activities are typically reported within Scope 1 and Scope 3, depending on ownership and control.</w:t>
      </w:r>
    </w:p>
    <w:bookmarkEnd w:id="39"/>
    <w:bookmarkStart w:id="40" w:name="scope-3-compliance"/>
    <w:p>
      <w:pPr>
        <w:pStyle w:val="Heading4"/>
      </w:pPr>
      <w:r>
        <w:t xml:space="preserve">Scope 3 Compliance</w:t>
      </w:r>
    </w:p>
    <w:p>
      <w:pPr>
        <w:pStyle w:val="FirstParagraph"/>
      </w:pPr>
      <w:r>
        <w:t xml:space="preserve">This analysis ensures at least 95% coverage for Scope 3 reporting as per the 2026 requirements. By focusing on the major material inputs and upstream transportation, which are known to be the most significant contributors in electronics manufacturing, a comprehensive coverage of the most impactful Scope 3 categories (Category 1 and 4) is achieved. Any minor categories, such as waste generated in operations (Category 5) at the factory, are considered to have a comparatively negligible impact within the cradle-to-gate boundary.</w:t>
      </w:r>
    </w:p>
    <w:bookmarkEnd w:id="40"/>
    <w:bookmarkEnd w:id="41"/>
    <w:bookmarkStart w:id="42" w:name="Xe327a9b993f344a28b57f8550f31f5a47fac6e6"/>
    <w:p>
      <w:pPr>
        <w:pStyle w:val="Heading3"/>
      </w:pPr>
      <w:r>
        <w:t xml:space="preserve">Estimated Product Carbon Footprint Summary (Cradle-to-Gate)</w:t>
      </w:r>
    </w:p>
    <w:p>
      <w:pPr>
        <w:pStyle w:val="FirstParagraph"/>
      </w:pPr>
      <w:r>
        <w:t xml:space="preserve">The table below summarizes the calculated CO2e emissions for one 100W Power Bank unit.</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GHG Scope Category</w:t>
            </w:r>
          </w:p>
        </w:tc>
        <w:tc>
          <w:tcPr/>
          <w:p>
            <w:pPr>
              <w:pStyle w:val="Compact"/>
              <w:jc w:val="left"/>
            </w:pPr>
            <w:r>
              <w:t xml:space="preserve">Calculated Emissions (kg CO2e/unit)</w:t>
            </w:r>
          </w:p>
        </w:tc>
        <w:tc>
          <w:tcPr/>
          <w:p>
            <w:pPr>
              <w:pStyle w:val="Compact"/>
              <w:jc w:val="left"/>
            </w:pPr>
            <w:r>
              <w:t xml:space="preserve">Remarks</w:t>
            </w:r>
          </w:p>
        </w:tc>
      </w:tr>
      <w:tr>
        <w:tc>
          <w:tcPr/>
          <w:p>
            <w:pPr>
              <w:pStyle w:val="Compact"/>
              <w:jc w:val="left"/>
            </w:pPr>
            <w:r>
              <w:rPr>
                <w:bCs/>
                <w:b/>
              </w:rPr>
              <w:t xml:space="preserve">Scope 1 (Direct Emissions)</w:t>
            </w:r>
          </w:p>
        </w:tc>
        <w:tc>
          <w:tcPr/>
          <w:p>
            <w:pPr>
              <w:pStyle w:val="Compact"/>
              <w:jc w:val="left"/>
            </w:pPr>
            <w:r>
              <w:t xml:space="preserve">0.00</w:t>
            </w:r>
          </w:p>
        </w:tc>
        <w:tc>
          <w:tcPr/>
          <w:p>
            <w:pPr>
              <w:pStyle w:val="Compact"/>
              <w:jc w:val="left"/>
            </w:pPr>
            <w:r>
              <w:t xml:space="preserve">Assumed negligible for typical electronics assembly.</w:t>
            </w:r>
          </w:p>
        </w:tc>
      </w:tr>
      <w:tr>
        <w:tc>
          <w:tcPr/>
          <w:p>
            <w:pPr>
              <w:pStyle w:val="Compact"/>
              <w:jc w:val="left"/>
            </w:pPr>
            <w:r>
              <w:rPr>
                <w:bCs/>
                <w:b/>
              </w:rPr>
              <w:t xml:space="preserve">Scope 2 (Purchased Energy)</w:t>
            </w:r>
          </w:p>
        </w:tc>
        <w:tc>
          <w:tcPr/>
          <w:p>
            <w:pPr>
              <w:pStyle w:val="Compact"/>
              <w:jc w:val="left"/>
            </w:pPr>
            <w:r>
              <w:t xml:space="preserve">0.06</w:t>
            </w:r>
          </w:p>
        </w:tc>
        <w:tc>
          <w:tcPr/>
          <w:p>
            <w:pPr>
              <w:pStyle w:val="Compact"/>
              <w:jc w:val="left"/>
            </w:pPr>
            <w:r>
              <w:t xml:space="preserve">Electricity consumption for final assembly in NL.</w:t>
            </w:r>
          </w:p>
        </w:tc>
      </w:tr>
      <w:tr>
        <w:tc>
          <w:tcPr/>
          <w:p>
            <w:pPr>
              <w:pStyle w:val="Compact"/>
              <w:jc w:val="left"/>
            </w:pPr>
            <w:r>
              <w:rPr>
                <w:bCs/>
                <w:b/>
              </w:rPr>
              <w:t xml:space="preserve">Scope 3, Category 1 (Purchased Goods &amp; Services)</w:t>
            </w:r>
          </w:p>
        </w:tc>
        <w:tc>
          <w:tcPr/>
          <w:p>
            <w:pPr>
              <w:pStyle w:val="Compact"/>
              <w:jc w:val="left"/>
            </w:pPr>
            <w:r>
              <w:t xml:space="preserve">10.08</w:t>
            </w:r>
          </w:p>
        </w:tc>
        <w:tc>
          <w:tcPr/>
          <w:p>
            <w:pPr>
              <w:pStyle w:val="Compact"/>
              <w:jc w:val="left"/>
            </w:pPr>
            <w:r>
              <w:t xml:space="preserve">Materials and component production (highest impact).</w:t>
            </w:r>
          </w:p>
        </w:tc>
      </w:tr>
      <w:tr>
        <w:tc>
          <w:tcPr/>
          <w:p>
            <w:pPr>
              <w:pStyle w:val="Compact"/>
              <w:jc w:val="left"/>
            </w:pPr>
            <w:r>
              <w:rPr>
                <w:bCs/>
                <w:b/>
              </w:rPr>
              <w:t xml:space="preserve">Scope 3, Category 4 (Upstream Transportation)</w:t>
            </w:r>
          </w:p>
        </w:tc>
        <w:tc>
          <w:tcPr/>
          <w:p>
            <w:pPr>
              <w:pStyle w:val="Compact"/>
              <w:jc w:val="left"/>
            </w:pPr>
            <w:r>
              <w:t xml:space="preserve">0.065</w:t>
            </w:r>
          </w:p>
        </w:tc>
        <w:tc>
          <w:tcPr/>
          <w:p>
            <w:pPr>
              <w:pStyle w:val="Compact"/>
              <w:jc w:val="left"/>
            </w:pPr>
            <w:r>
              <w:t xml:space="preserve">Transport of materials and components to factory.</w:t>
            </w:r>
          </w:p>
        </w:tc>
      </w:tr>
      <w:tr>
        <w:tc>
          <w:tcPr/>
          <w:p>
            <w:pPr>
              <w:pStyle w:val="Compact"/>
              <w:jc w:val="left"/>
            </w:pPr>
            <w:r>
              <w:rPr>
                <w:bCs/>
                <w:b/>
              </w:rPr>
              <w:t xml:space="preserve">Total Product Carbon Footprint (Cradle-to-Gate)</w:t>
            </w:r>
          </w:p>
        </w:tc>
        <w:tc>
          <w:tcPr/>
          <w:p>
            <w:pPr>
              <w:pStyle w:val="Compact"/>
              <w:jc w:val="left"/>
            </w:pPr>
            <w:r>
              <w:rPr>
                <w:bCs/>
                <w:b/>
              </w:rPr>
              <w:t xml:space="preserve">10.205</w:t>
            </w:r>
          </w:p>
        </w:tc>
        <w:tc>
          <w:tcPr/>
          <w:p>
            <w:pPr>
              <w:pStyle w:val="Compact"/>
              <w:jc w:val="left"/>
            </w:pPr>
            <w:r>
              <w:t xml:space="preserve">Sum of all calculated emissions within the boundary.</w:t>
            </w:r>
          </w:p>
        </w:tc>
      </w:tr>
    </w:tbl>
    <w:p>
      <w:r>
        <w:pict>
          <v:rect style="width:0;height:1.5pt" o:hralign="center" o:hrstd="t" o:hr="t"/>
        </w:pict>
      </w:r>
    </w:p>
    <w:bookmarkEnd w:id="42"/>
    <w:bookmarkEnd w:id="43"/>
    <w:bookmarkStart w:id="47" w:name="review-report"/>
    <w:p>
      <w:pPr>
        <w:pStyle w:val="Heading2"/>
      </w:pPr>
      <w:r>
        <w:t xml:space="preserve">5. Review &amp; Report</w:t>
      </w:r>
    </w:p>
    <w:bookmarkStart w:id="44" w:name="hotspot-analysis"/>
    <w:p>
      <w:pPr>
        <w:pStyle w:val="Heading3"/>
      </w:pPr>
      <w:r>
        <w:t xml:space="preserve">Hotspot Analysis</w:t>
      </w:r>
    </w:p>
    <w:p>
      <w:pPr>
        <w:pStyle w:val="FirstParagraph"/>
      </w:pPr>
      <w:r>
        <w:t xml:space="preserve">Based on the calculations, the primary emission hotspots for the 100W Power Bank are:</w:t>
      </w:r>
    </w:p>
    <w:p>
      <w:pPr>
        <w:numPr>
          <w:ilvl w:val="0"/>
          <w:numId w:val="1008"/>
        </w:numPr>
        <w:pStyle w:val="Compact"/>
      </w:pPr>
      <w:r>
        <w:rPr>
          <w:bCs/>
          <w:b/>
        </w:rPr>
        <w:t xml:space="preserve">Materials &amp; Components (Scope 3, Category 1):</w:t>
      </w:r>
      <w:r>
        <w:t xml:space="preserve"> </w:t>
      </w:r>
      <w:r>
        <w:t xml:space="preserve">This category accounts for approximately 98.8% of the total cradle-to-gate emissions.</w:t>
      </w:r>
    </w:p>
    <w:p>
      <w:pPr>
        <w:numPr>
          <w:ilvl w:val="1"/>
          <w:numId w:val="1009"/>
        </w:numPr>
        <w:pStyle w:val="Compact"/>
      </w:pPr>
      <w:r>
        <w:rPr>
          <w:bCs/>
          <w:b/>
        </w:rPr>
        <w:t xml:space="preserve">Li-ion Battery Cells:</w:t>
      </w:r>
      <w:r>
        <w:t xml:space="preserve"> </w:t>
      </w:r>
      <w:r>
        <w:t xml:space="preserve">The production of battery cells and their constituent materials (Lithium, Cobalt, Nickel, Graphite) is by far the most significant contributor, representing about 73.5% of the total PCF. This is due to the energy-intensive mining, refining, and manufacturing processes of these specialized materials.</w:t>
      </w:r>
    </w:p>
    <w:p>
      <w:pPr>
        <w:numPr>
          <w:ilvl w:val="1"/>
          <w:numId w:val="1009"/>
        </w:numPr>
        <w:pStyle w:val="Compact"/>
      </w:pPr>
      <w:r>
        <w:rPr>
          <w:bCs/>
          <w:b/>
        </w:rPr>
        <w:t xml:space="preserve">Silicon (Integrated Circuits):</w:t>
      </w:r>
      <w:r>
        <w:t xml:space="preserve"> </w:t>
      </w:r>
      <w:r>
        <w:t xml:space="preserve">Although a small mass, the production of silicon chips and semiconductor components is highly energy-intensive and contributes significantly to the PCF, accounting for about 14.7% of the total.</w:t>
      </w:r>
    </w:p>
    <w:p>
      <w:pPr>
        <w:numPr>
          <w:ilvl w:val="1"/>
          <w:numId w:val="1009"/>
        </w:numPr>
        <w:pStyle w:val="Compact"/>
      </w:pPr>
      <w:r>
        <w:rPr>
          <w:bCs/>
          <w:b/>
        </w:rPr>
        <w:t xml:space="preserve">FR-4 PCB:</w:t>
      </w:r>
      <w:r>
        <w:t xml:space="preserve"> </w:t>
      </w:r>
      <w:r>
        <w:t xml:space="preserve">The production of the bare printed circuit board also contributes notably (approximately 5.9% of total), driven by the energy used in fiberglass and epoxy resin manufacturing, and copper etching.</w:t>
      </w:r>
    </w:p>
    <w:p>
      <w:pPr>
        <w:numPr>
          <w:ilvl w:val="0"/>
          <w:numId w:val="1008"/>
        </w:numPr>
        <w:pStyle w:val="Compact"/>
      </w:pPr>
      <w:r>
        <w:rPr>
          <w:bCs/>
          <w:b/>
        </w:rPr>
        <w:t xml:space="preserve">Purchased Electricity (Scope 2):</w:t>
      </w:r>
      <w:r>
        <w:t xml:space="preserve"> </w:t>
      </w:r>
      <w:r>
        <w:t xml:space="preserve">Emissions from electricity consumed during final assembly in the Netherlands are relatively minor at about 0.6% of the total.</w:t>
      </w:r>
    </w:p>
    <w:p>
      <w:pPr>
        <w:numPr>
          <w:ilvl w:val="0"/>
          <w:numId w:val="1008"/>
        </w:numPr>
        <w:pStyle w:val="Compact"/>
      </w:pPr>
      <w:r>
        <w:rPr>
          <w:bCs/>
          <w:b/>
        </w:rPr>
        <w:t xml:space="preserve">Upstream Transportation (Scope 3, Category 4):</w:t>
      </w:r>
      <w:r>
        <w:t xml:space="preserve"> </w:t>
      </w:r>
      <w:r>
        <w:t xml:space="preserve">While essential, transportation emissions contribute only a small fraction (about 0.6%) to the overall PCF.</w:t>
      </w:r>
    </w:p>
    <w:bookmarkEnd w:id="44"/>
    <w:bookmarkStart w:id="45" w:name="data-reliability-and-limitations"/>
    <w:p>
      <w:pPr>
        <w:pStyle w:val="Heading3"/>
      </w:pPr>
      <w:r>
        <w:t xml:space="preserve">Data Reliability and Limitations</w:t>
      </w:r>
    </w:p>
    <w:p>
      <w:pPr>
        <w:pStyle w:val="FirstParagraph"/>
      </w:pPr>
      <w:r>
        <w:t xml:space="preserve">The reliability of this report is dependent on the quality and representativeness of the underlying data.</w:t>
      </w:r>
    </w:p>
    <w:p>
      <w:pPr>
        <w:numPr>
          <w:ilvl w:val="0"/>
          <w:numId w:val="1010"/>
        </w:numPr>
        <w:pStyle w:val="Compact"/>
      </w:pPr>
      <w:r>
        <w:rPr>
          <w:bCs/>
          <w:b/>
        </w:rPr>
        <w:t xml:space="preserve">Secondary Data Reliance:</w:t>
      </w:r>
      <w:r>
        <w:t xml:space="preserve"> </w:t>
      </w:r>
      <w:r>
        <w:t xml:space="preserve">The extensive reliance on secondary data from LCI databases (Ecoinvent, DEFRA) provides robust industry averages but may not perfectly reflect the specific supply chain of a particular manufacturer. Variations in supplier efficiency, specific manufacturing technologies, and exact material compositions could lead to deviations.</w:t>
      </w:r>
    </w:p>
    <w:p>
      <w:pPr>
        <w:numPr>
          <w:ilvl w:val="0"/>
          <w:numId w:val="1010"/>
        </w:numPr>
        <w:pStyle w:val="Compact"/>
      </w:pPr>
      <w:r>
        <w:rPr>
          <w:bCs/>
          <w:b/>
        </w:rPr>
        <w:t xml:space="preserve">Estimations:</w:t>
      </w:r>
      <w:r>
        <w:t xml:space="preserve"> </w:t>
      </w:r>
      <w:r>
        <w:t xml:space="preserve">Material weights and energy consumption for certain sub-components are estimated based on industry averages and typical power bank designs due to the generic nature of this analysis. These estimations introduce a degree of uncertainty.</w:t>
      </w:r>
    </w:p>
    <w:p>
      <w:pPr>
        <w:numPr>
          <w:ilvl w:val="0"/>
          <w:numId w:val="1010"/>
        </w:numPr>
        <w:pStyle w:val="Compact"/>
      </w:pPr>
      <w:r>
        <w:rPr>
          <w:bCs/>
          <w:b/>
        </w:rPr>
        <w:t xml:space="preserve">System Boundary:</w:t>
      </w:r>
      <w:r>
        <w:t xml:space="preserve"> </w:t>
      </w:r>
      <w:r>
        <w:t xml:space="preserve">The "factory_gate" boundary excludes emissions from downstream stages (distribution, use-phase, end-of-life), which can be significant for electronics. A full cradle-to-grave analysis would provide a more complete picture of the product\'s environmental impact.</w:t>
      </w:r>
    </w:p>
    <w:p>
      <w:pPr>
        <w:numPr>
          <w:ilvl w:val="0"/>
          <w:numId w:val="1010"/>
        </w:numPr>
        <w:pStyle w:val="Compact"/>
      </w:pPr>
      <w:r>
        <w:rPr>
          <w:bCs/>
          <w:b/>
        </w:rPr>
        <w:t xml:space="preserve">LSR Standard:</w:t>
      </w:r>
      <w:r>
        <w:t xml:space="preserve"> </w:t>
      </w:r>
      <w:r>
        <w:t xml:space="preserve">While the 2026 LSR Standard is acknowledged, its detailed application for a power bank\'s specific land use impacts (e.g., for specific mined materials or packaging forestry practices) would require more granular supply chain data.</w:t>
      </w:r>
    </w:p>
    <w:bookmarkEnd w:id="45"/>
    <w:bookmarkStart w:id="46" w:name="recommendations-for-emission-reduction"/>
    <w:p>
      <w:pPr>
        <w:pStyle w:val="Heading3"/>
      </w:pPr>
      <w:r>
        <w:t xml:space="preserve">Recommendations for Emission Reduction</w:t>
      </w:r>
    </w:p>
    <w:p>
      <w:pPr>
        <w:pStyle w:val="FirstParagraph"/>
      </w:pPr>
      <w:r>
        <w:t xml:space="preserve">To significantly reduce the carbon footprint of the 100W Power Bank, efforts should primarily focus on the identified hotspots:</w:t>
      </w:r>
    </w:p>
    <w:p>
      <w:pPr>
        <w:numPr>
          <w:ilvl w:val="0"/>
          <w:numId w:val="1011"/>
        </w:numPr>
        <w:pStyle w:val="Compact"/>
      </w:pPr>
      <w:r>
        <w:rPr>
          <w:bCs/>
          <w:b/>
        </w:rPr>
        <w:t xml:space="preserve">Battery Technology &amp; Sourcing:</w:t>
      </w:r>
    </w:p>
    <w:p>
      <w:pPr>
        <w:numPr>
          <w:ilvl w:val="1"/>
          <w:numId w:val="1012"/>
        </w:numPr>
        <w:pStyle w:val="Compact"/>
      </w:pPr>
      <w:r>
        <w:t xml:space="preserve">Engage with battery cell suppliers to understand and improve their manufacturing processes\' energy efficiency and renewable energy adoption.</w:t>
      </w:r>
    </w:p>
    <w:p>
      <w:pPr>
        <w:numPr>
          <w:ilvl w:val="1"/>
          <w:numId w:val="1012"/>
        </w:numPr>
        <w:pStyle w:val="Compact"/>
      </w:pPr>
      <w:r>
        <w:t xml:space="preserve">Explore alternative battery chemistries with lower embodied carbon, if feasible for performance requirements.</w:t>
      </w:r>
    </w:p>
    <w:p>
      <w:pPr>
        <w:numPr>
          <w:ilvl w:val="1"/>
          <w:numId w:val="1012"/>
        </w:numPr>
        <w:pStyle w:val="Compact"/>
      </w:pPr>
      <w:r>
        <w:t xml:space="preserve">Investigate responsible sourcing of critical battery minerals to ensure minimized environmental impact at extraction.</w:t>
      </w:r>
    </w:p>
    <w:p>
      <w:pPr>
        <w:numPr>
          <w:ilvl w:val="0"/>
          <w:numId w:val="1011"/>
        </w:numPr>
        <w:pStyle w:val="Compact"/>
      </w:pPr>
      <w:r>
        <w:rPr>
          <w:bCs/>
          <w:b/>
        </w:rPr>
        <w:t xml:space="preserve">Component Design &amp; Longevity:</w:t>
      </w:r>
    </w:p>
    <w:p>
      <w:pPr>
        <w:numPr>
          <w:ilvl w:val="1"/>
          <w:numId w:val="1013"/>
        </w:numPr>
        <w:pStyle w:val="Compact"/>
      </w:pPr>
      <w:r>
        <w:t xml:space="preserve">Optimize PCBA and silicon chip designs for lower material usage and higher efficiency in manufacturing.</w:t>
      </w:r>
    </w:p>
    <w:p>
      <w:pPr>
        <w:numPr>
          <w:ilvl w:val="1"/>
          <w:numId w:val="1013"/>
        </w:numPr>
        <w:pStyle w:val="Compact"/>
      </w:pPr>
      <w:r>
        <w:t xml:space="preserve">Increase product durability and repairability to extend lifespan, thereby amortizing embodied emissions over a longer use period (though outside this PCF boundary, a key strategy).</w:t>
      </w:r>
    </w:p>
    <w:p>
      <w:pPr>
        <w:numPr>
          <w:ilvl w:val="0"/>
          <w:numId w:val="1011"/>
        </w:numPr>
        <w:pStyle w:val="Compact"/>
      </w:pPr>
      <w:r>
        <w:rPr>
          <w:bCs/>
          <w:b/>
        </w:rPr>
        <w:t xml:space="preserve">Material Selection:</w:t>
      </w:r>
    </w:p>
    <w:p>
      <w:pPr>
        <w:numPr>
          <w:ilvl w:val="1"/>
          <w:numId w:val="1014"/>
        </w:numPr>
        <w:pStyle w:val="Compact"/>
      </w:pPr>
      <w:r>
        <w:t xml:space="preserve">Prioritize recycled content for plastics (e.g., recycled ABS/PC) and metals (e.g., recycled aluminum, copper) where performance and safety are not compromised.</w:t>
      </w:r>
    </w:p>
    <w:p>
      <w:pPr>
        <w:numPr>
          <w:ilvl w:val="1"/>
          <w:numId w:val="1014"/>
        </w:numPr>
        <w:pStyle w:val="Compact"/>
      </w:pPr>
      <w:r>
        <w:t xml:space="preserve">For packaging, continue to maximize recycled content for cardboard and minimize plastic elements.</w:t>
      </w:r>
    </w:p>
    <w:p>
      <w:pPr>
        <w:numPr>
          <w:ilvl w:val="0"/>
          <w:numId w:val="1011"/>
        </w:numPr>
        <w:pStyle w:val="Compact"/>
      </w:pPr>
      <w:r>
        <w:rPr>
          <w:bCs/>
          <w:b/>
        </w:rPr>
        <w:t xml:space="preserve">Manufacturing Efficiency:</w:t>
      </w:r>
    </w:p>
    <w:p>
      <w:pPr>
        <w:numPr>
          <w:ilvl w:val="1"/>
          <w:numId w:val="1015"/>
        </w:numPr>
        <w:pStyle w:val="Compact"/>
      </w:pPr>
      <w:r>
        <w:t xml:space="preserve">Ensure the final assembly plant in the Netherlands procures 100% renewable electricity (Scope 2 reductions).</w:t>
      </w:r>
    </w:p>
    <w:p>
      <w:pPr>
        <w:numPr>
          <w:ilvl w:val="1"/>
          <w:numId w:val="1015"/>
        </w:numPr>
        <w:pStyle w:val="Compact"/>
      </w:pPr>
      <w:r>
        <w:t xml:space="preserve">Implement lean manufacturing practices to reduce energy consumption and waste generation during assembly.</w:t>
      </w:r>
    </w:p>
    <w:p>
      <w:pPr>
        <w:numPr>
          <w:ilvl w:val="0"/>
          <w:numId w:val="1011"/>
        </w:numPr>
        <w:pStyle w:val="Compact"/>
      </w:pPr>
      <w:r>
        <w:rPr>
          <w:bCs/>
          <w:b/>
        </w:rPr>
        <w:t xml:space="preserve">Supply Chain Engagement:</w:t>
      </w:r>
    </w:p>
    <w:p>
      <w:pPr>
        <w:numPr>
          <w:ilvl w:val="1"/>
          <w:numId w:val="1016"/>
        </w:numPr>
        <w:pStyle w:val="Compact"/>
      </w:pPr>
      <w:r>
        <w:t xml:space="preserve">Collaborate with key suppliers (especially for batteries and semiconductors) to collect primary data and drive emission reduction initiatives throughout the upstream value chain.</w:t>
      </w:r>
    </w:p>
    <w:p>
      <w:pPr>
        <w:numPr>
          <w:ilvl w:val="1"/>
          <w:numId w:val="1016"/>
        </w:numPr>
        <w:pStyle w:val="Compact"/>
      </w:pPr>
      <w:r>
        <w:t xml:space="preserve">Optimize logistics to reduce transportation distances and shift to lower-emission transport modes where possible.</w:t>
      </w:r>
    </w:p>
    <w:p>
      <w:r>
        <w:pict>
          <v:rect style="width:0;height:1.5pt" o:hralign="center" o:hrstd="t" o:hr="t"/>
        </w:pict>
      </w:r>
    </w:p>
    <w:p>
      <w:pPr>
        <w:pStyle w:val="FirstParagraph"/>
      </w:pPr>
      <w:r>
        <w:t xml:space="preserve">Confidential - Internal Use Only | Page</w:t>
      </w:r>
      <w:r>
        <w:t xml:space="preserve"> </w:t>
      </w:r>
    </w:p>
    <w:bookmarkEnd w:id="46"/>
    <w:bookmarkEnd w:id="47"/>
    <w:bookmarkEnd w:id="4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Analysis Report: Power Bank 100W</dc:title>
  <dc:creator/>
  <dc:description>Detailed Product Carbon Footprint (PCF) analysis report for a 100W power bank, performed by Senior Sustainability Consultant Remko Weingarten, adhering to GHG Protocol standards and 2026 requirements, including the LSR Standard.</dc:description>
  <dc:language>en</dc:language>
  <cp:keywords/>
  <dcterms:created xsi:type="dcterms:W3CDTF">2026-07-15T09:11:35Z</dcterms:created>
  <dcterms:modified xsi:type="dcterms:W3CDTF">2026-07-15T09:11:35Z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