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Leather</w:t>
      </w:r>
      <w:r>
        <w:t xml:space="preserve"> </w:t>
      </w:r>
      <w:r>
        <w:t xml:space="preserve">Wallet</w:t>
      </w:r>
    </w:p>
    <w:p>
      <w:pPr>
        <w:pStyle w:val="FirstParagraph"/>
      </w:pPr>
      <w:r>
        <w:t xml:space="preserve">carboncalc.online</w:t>
      </w:r>
    </w:p>
    <w:bookmarkStart w:id="20" w:name="product-carbon-footprint-analysis-report"/>
    <w:p>
      <w:pPr>
        <w:pStyle w:val="Heading1"/>
      </w:pPr>
      <w:r>
        <w:t xml:space="preserve">Product Carbon Footprint Analysis Report</w:t>
      </w:r>
    </w:p>
    <w:p>
      <w:pPr>
        <w:pStyle w:val="FirstParagraph"/>
      </w:pPr>
      <w:r>
        <w:t xml:space="preserve">Leather Wallet</w:t>
      </w:r>
    </w:p>
    <w:p>
      <w:pPr>
        <w:pStyle w:val="BodyText"/>
      </w:pPr>
      <w:r>
        <w:t xml:space="preserve">Protocol Data (Accounting Standard): GHG Protocol</w:t>
      </w:r>
    </w:p>
    <w:p>
      <w:pPr>
        <w:pStyle w:val="BodyText"/>
      </w:pPr>
      <w:r>
        <w:t xml:space="preserve">Senior Sustainability Consultant: Remko Weingarten</w:t>
      </w:r>
    </w:p>
    <w:p>
      <w:pPr>
        <w:pStyle w:val="BodyText"/>
      </w:pPr>
      <w:r>
        <w:t xml:space="preserve">This report is generated based on available data and industry standards, providing an estimate of the product carbon footprint. Actual emissions may vary based on specific supplier data and dynamic operational parameters.</w:t>
      </w:r>
    </w:p>
    <w:bookmarkEnd w:id="20"/>
    <w:p>
      <w:pPr>
        <w:pStyle w:val="BodyText"/>
      </w:pPr>
      <w:r>
        <w:t xml:space="preserve">Generated Date: April 16, 2026</w:t>
      </w:r>
    </w:p>
    <w:bookmarkStart w:id="48" w:name="X5db80f274657d51beb594e7c0f80e1c1a654375"/>
    <w:p>
      <w:pPr>
        <w:pStyle w:val="Heading1"/>
      </w:pPr>
      <w:r>
        <w:t xml:space="preserve">Product Carbon Footprint Analysis: Leather Wallet</w:t>
      </w:r>
    </w:p>
    <w:p>
      <w:pPr>
        <w:pStyle w:val="FirstParagraph"/>
      </w:pPr>
      <w:r>
        <w:t xml:space="preserve">As Remko Weingarten, Senior Sustainability Consultant specializing in GHG Protocol, I present this high-detail Product Carbon Footprint (PCF) analysis for a leather wallet. This report adheres to the GHG Protocol standards, including the 2026 Land Sector and Removals (LSR) Standard update, and aims for at least 95% coverage for Scope 3 reporting.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comprehensive Product Carbon Footprint (PCF) analysis for a standard leather wallet, from cradle-to-gate, with a focus on its production in the Netherlands and a Europe-centric supply chain. The analysis strictly follows the GHG Protocol and incorporates the latest 2026 LSR Standard requirements. The primary objective is to quantify the greenhouse gas (GHG) emissions associated with the materials, manufacturing processes, and inbound transportation of the wallet up to the factory gate. Key hotspots identified include raw material acquisition, particularly leather production, and manufacturing energy consumption. Understanding these hotspots is crucial for developing effective decarbonization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a finished leather wallet</w:t>
      </w:r>
      <w:r>
        <w:t xml:space="preserve">.</w:t>
      </w:r>
    </w:p>
    <w:bookmarkEnd w:id="22"/>
    <w:bookmarkStart w:id="23" w:name="system-boundary"/>
    <w:p>
      <w:pPr>
        <w:pStyle w:val="Heading3"/>
      </w:pPr>
      <w:r>
        <w:t xml:space="preserve">System Boundary</w:t>
      </w:r>
    </w:p>
    <w:p>
      <w:pPr>
        <w:pStyle w:val="FirstParagraph"/>
      </w:pPr>
      <w:r>
        <w:t xml:space="preserve">The system boundary for this analysis is</w:t>
      </w:r>
      <w:r>
        <w:t xml:space="preserve"> </w:t>
      </w:r>
      <w:r>
        <w:rPr>
          <w:bCs/>
          <w:b/>
        </w:rPr>
        <w:t xml:space="preserve">"factory_gate" (Cradle-to-Gate)</w:t>
      </w:r>
      <w:r>
        <w:t xml:space="preserve">. This includes all life cycle stages from raw material extraction and processing, through manufacturing and assembly, up to the point where the finished product leaves the production facility in the Netherlands. It excludes the use phase, distribution to the customer, and end-of-life treatment.</w:t>
      </w:r>
    </w:p>
    <w:bookmarkEnd w:id="23"/>
    <w:bookmarkStart w:id="24" w:name="geographic-scope"/>
    <w:p>
      <w:pPr>
        <w:pStyle w:val="Heading3"/>
      </w:pPr>
      <w:r>
        <w:t xml:space="preserve">Geographic Scope</w:t>
      </w:r>
    </w:p>
    <w:p>
      <w:pPr>
        <w:pStyle w:val="FirstParagraph"/>
      </w:pPr>
      <w:r>
        <w:t xml:space="preserve">The **Final Production Country is the Netherlands**, with a **Supply Chain Focus on Europe**. This implies that emission factors for electricity, transportation, and certain material productions are geographically specific or representative of European averages where possible.</w:t>
      </w:r>
    </w:p>
    <w:bookmarkEnd w:id="24"/>
    <w:bookmarkStart w:id="25" w:name="accounting-standard"/>
    <w:p>
      <w:pPr>
        <w:pStyle w:val="Heading3"/>
      </w:pPr>
      <w:r>
        <w:t xml:space="preserve">Accounting Standard</w:t>
      </w:r>
    </w:p>
    <w:p>
      <w:pPr>
        <w:pStyle w:val="FirstParagraph"/>
      </w:pPr>
      <w:r>
        <w:t xml:space="preserve">This report strictly adheres to the</w:t>
      </w:r>
      <w:r>
        <w:t xml:space="preserve"> </w:t>
      </w:r>
      <w:r>
        <w:rPr>
          <w:bCs/>
          <w:b/>
        </w:rPr>
        <w:t xml:space="preserve">GHG Protocol (Greenhouse Gas Protocol)</w:t>
      </w:r>
      <w:r>
        <w:t xml:space="preserve"> </w:t>
      </w:r>
      <w:r>
        <w:t xml:space="preserve">standards, encompassing Scope 1, Scope 2, and Scope 3 emissions. Furthermore, it incorporates the requirements of the</w:t>
      </w:r>
      <w:r>
        <w:t xml:space="preserve"> </w:t>
      </w:r>
      <w:r>
        <w:rPr>
          <w:bCs/>
          <w:b/>
        </w:rPr>
        <w:t xml:space="preserve">2026 Land Sector and Removals (LSR) Standard update</w:t>
      </w:r>
      <w:r>
        <w:t xml:space="preserve">, which is crucial for accurately accounting for land-related emissions, particularly for agricultural products like leather.</w:t>
      </w:r>
    </w:p>
    <w:bookmarkEnd w:id="25"/>
    <w:bookmarkStart w:id="26" w:name="allocation"/>
    <w:p>
      <w:pPr>
        <w:pStyle w:val="Heading3"/>
      </w:pPr>
      <w:r>
        <w:t xml:space="preserve">Allocation</w:t>
      </w:r>
    </w:p>
    <w:p>
      <w:pPr>
        <w:pStyle w:val="FirstParagraph"/>
      </w:pPr>
      <w:r>
        <w:t xml:space="preserve">Allocation of emissions for co-products or shared processes (e.g., in leather production where meat is the primary product) follows GHG Protocol guidance, typically using economic allocation where appropriate. For materials, we consider the full upstream impact allocated to the material itself.</w:t>
      </w:r>
    </w:p>
    <w:p>
      <w:r>
        <w:pict>
          <v:rect style="width:0;height:1.5pt" o:hralign="center" o:hrstd="t" o:hr="t"/>
        </w:pict>
      </w:r>
    </w:p>
    <w:bookmarkEnd w:id="26"/>
    <w:bookmarkEnd w:id="27"/>
    <w:bookmarkStart w:id="28" w:name="map-lifecycle-lci-inventory-stages"/>
    <w:p>
      <w:pPr>
        <w:pStyle w:val="Heading2"/>
      </w:pPr>
      <w:r>
        <w:t xml:space="preserve">2. Map Lifecycle (LCI Inventory Stages)</w:t>
      </w:r>
    </w:p>
    <w:p>
      <w:pPr>
        <w:pStyle w:val="FirstParagraph"/>
      </w:pPr>
      <w:r>
        <w:t xml:space="preserve">The lifecycle of a leather wallet within the defined "factory_gate" boundary includes the following key stages:</w:t>
      </w:r>
    </w:p>
    <w:p>
      <w:pPr>
        <w:numPr>
          <w:ilvl w:val="0"/>
          <w:numId w:val="1001"/>
        </w:numPr>
        <w:pStyle w:val="Compact"/>
      </w:pPr>
      <w:r>
        <w:t xml:space="preserve">**Raw Material Acquisition &amp; Pre-processing:**</w:t>
      </w:r>
    </w:p>
    <w:p>
      <w:pPr>
        <w:numPr>
          <w:ilvl w:val="1"/>
          <w:numId w:val="1002"/>
        </w:numPr>
        <w:pStyle w:val="Compact"/>
      </w:pPr>
      <w:r>
        <w:t xml:space="preserve">Cattle rearing for raw hides (including land use change, enteric fermentation, manure management).</w:t>
      </w:r>
    </w:p>
    <w:p>
      <w:pPr>
        <w:numPr>
          <w:ilvl w:val="1"/>
          <w:numId w:val="1002"/>
        </w:numPr>
        <w:pStyle w:val="Compact"/>
      </w:pPr>
      <w:r>
        <w:t xml:space="preserve">Leather tanning and finishing processes.</w:t>
      </w:r>
    </w:p>
    <w:p>
      <w:pPr>
        <w:numPr>
          <w:ilvl w:val="1"/>
          <w:numId w:val="1002"/>
        </w:numPr>
        <w:pStyle w:val="Compact"/>
      </w:pPr>
      <w:r>
        <w:t xml:space="preserve">Production of polyester fibers and fabric (for lining and thread).</w:t>
      </w:r>
    </w:p>
    <w:p>
      <w:pPr>
        <w:numPr>
          <w:ilvl w:val="1"/>
          <w:numId w:val="1002"/>
        </w:numPr>
        <w:pStyle w:val="Compact"/>
      </w:pPr>
      <w:r>
        <w:t xml:space="preserve">Mining and refining of metals (e.g., zinc for alloy components).</w:t>
      </w:r>
    </w:p>
    <w:p>
      <w:pPr>
        <w:numPr>
          <w:ilvl w:val="1"/>
          <w:numId w:val="1002"/>
        </w:numPr>
        <w:pStyle w:val="Compact"/>
      </w:pPr>
      <w:r>
        <w:t xml:space="preserve">Manufacturing of adhesives.</w:t>
      </w:r>
    </w:p>
    <w:p>
      <w:pPr>
        <w:numPr>
          <w:ilvl w:val="1"/>
          <w:numId w:val="1002"/>
        </w:numPr>
        <w:pStyle w:val="Compact"/>
      </w:pPr>
      <w:r>
        <w:t xml:space="preserve">Pulp and paper production for cardboard packaging.</w:t>
      </w:r>
    </w:p>
    <w:p>
      <w:pPr>
        <w:numPr>
          <w:ilvl w:val="1"/>
          <w:numId w:val="1002"/>
        </w:numPr>
        <w:pStyle w:val="Compact"/>
      </w:pPr>
      <w:r>
        <w:t xml:space="preserve">Petrochemical extraction and processing for LDPE polybags.</w:t>
      </w:r>
    </w:p>
    <w:p>
      <w:pPr>
        <w:numPr>
          <w:ilvl w:val="0"/>
          <w:numId w:val="1001"/>
        </w:numPr>
        <w:pStyle w:val="Compact"/>
      </w:pPr>
      <w:r>
        <w:t xml:space="preserve">**Transportation of Raw Materials:**</w:t>
      </w:r>
    </w:p>
    <w:p>
      <w:pPr>
        <w:numPr>
          <w:ilvl w:val="1"/>
          <w:numId w:val="1003"/>
        </w:numPr>
        <w:pStyle w:val="Compact"/>
      </w:pPr>
      <w:r>
        <w:t xml:space="preserve">Inbound logistics of all raw materials (leather, fabric, metal, thread, adhesives, packaging) to the manufacturing facility in the Netherlands.</w:t>
      </w:r>
    </w:p>
    <w:p>
      <w:pPr>
        <w:numPr>
          <w:ilvl w:val="0"/>
          <w:numId w:val="1001"/>
        </w:numPr>
        <w:pStyle w:val="Compact"/>
      </w:pPr>
      <w:r>
        <w:t xml:space="preserve">**Manufacturing &amp; Assembly (Netherlands Factory):**</w:t>
      </w:r>
    </w:p>
    <w:p>
      <w:pPr>
        <w:numPr>
          <w:ilvl w:val="1"/>
          <w:numId w:val="1004"/>
        </w:numPr>
        <w:pStyle w:val="Compact"/>
      </w:pPr>
      <w:r>
        <w:t xml:space="preserve">Cutting of leather and fabric.</w:t>
      </w:r>
    </w:p>
    <w:p>
      <w:pPr>
        <w:numPr>
          <w:ilvl w:val="1"/>
          <w:numId w:val="1004"/>
        </w:numPr>
        <w:pStyle w:val="Compact"/>
      </w:pPr>
      <w:r>
        <w:t xml:space="preserve">Stitching and assembly of wallet components.</w:t>
      </w:r>
    </w:p>
    <w:p>
      <w:pPr>
        <w:numPr>
          <w:ilvl w:val="1"/>
          <w:numId w:val="1004"/>
        </w:numPr>
        <w:pStyle w:val="Compact"/>
      </w:pPr>
      <w:r>
        <w:t xml:space="preserve">Application of adhesives.</w:t>
      </w:r>
    </w:p>
    <w:p>
      <w:pPr>
        <w:numPr>
          <w:ilvl w:val="1"/>
          <w:numId w:val="1004"/>
        </w:numPr>
        <w:pStyle w:val="Compact"/>
      </w:pPr>
      <w:r>
        <w:t xml:space="preserve">Addition of metal hardware (zippers, logos).</w:t>
      </w:r>
    </w:p>
    <w:p>
      <w:pPr>
        <w:numPr>
          <w:ilvl w:val="1"/>
          <w:numId w:val="1004"/>
        </w:numPr>
        <w:pStyle w:val="Compact"/>
      </w:pPr>
      <w:r>
        <w:t xml:space="preserve">Finishing processes (e.g., edge painting, quality control).</w:t>
      </w:r>
    </w:p>
    <w:p>
      <w:pPr>
        <w:numPr>
          <w:ilvl w:val="1"/>
          <w:numId w:val="1004"/>
        </w:numPr>
        <w:pStyle w:val="Compact"/>
      </w:pPr>
      <w:r>
        <w:t xml:space="preserve">Packaging of the finished wallet (into polybag and cardboard box).</w:t>
      </w:r>
    </w:p>
    <w:p>
      <w:pPr>
        <w:numPr>
          <w:ilvl w:val="1"/>
          <w:numId w:val="1004"/>
        </w:numPr>
        <w:pStyle w:val="Compact"/>
      </w:pPr>
      <w:r>
        <w:t xml:space="preserve">On-site energy consumption (electricity, heating).</w:t>
      </w:r>
    </w:p>
    <w:p>
      <w:pPr>
        <w:numPr>
          <w:ilvl w:val="1"/>
          <w:numId w:val="1004"/>
        </w:numPr>
        <w:pStyle w:val="Compact"/>
      </w:pPr>
      <w:r>
        <w:t xml:space="preserve">On-site waste generation (leather scraps, fabric off-cuts, packaging waste).</w:t>
      </w:r>
    </w:p>
    <w:p>
      <w:r>
        <w:pict>
          <v:rect style="width:0;height:1.5pt" o:hralign="center" o:hrstd="t" o:hr="t"/>
        </w:pict>
      </w:r>
    </w:p>
    <w:bookmarkEnd w:id="28"/>
    <w:bookmarkStart w:id="33" w:name="Xb57f50a89bf1f3f1837369be949d9d60d6c1272"/>
    <w:p>
      <w:pPr>
        <w:pStyle w:val="Heading2"/>
      </w:pPr>
      <w:r>
        <w:t xml:space="preserve">3. Collect Data (Primary/Secondary Data Points)</w:t>
      </w:r>
    </w:p>
    <w:p>
      <w:pPr>
        <w:pStyle w:val="FirstParagraph"/>
      </w:pPr>
      <w:r>
        <w:t xml:space="preserve">Given the nature of this report, a combination of assumed primary data (representative quantities per functional unit) and secondary data (industry-average emission factors) has been used. Compliance with Scope 3 reporting requires at least 95% coverage, which is addressed by including all significant upstream material and energy inputs.</w:t>
      </w:r>
    </w:p>
    <w:bookmarkStart w:id="32" w:name="X5c32d8dc7c82731d99f98e4e41ad3432ea82761"/>
    <w:p>
      <w:pPr>
        <w:pStyle w:val="Heading3"/>
      </w:pPr>
      <w:r>
        <w:t xml:space="preserve">Detailed Breakdown of Materials and Energy Inputs (per 1.0 Leather Wallet)</w:t>
      </w:r>
    </w:p>
    <w:bookmarkStart w:id="29" w:name="materials"/>
    <w:p>
      <w:pPr>
        <w:pStyle w:val="Heading4"/>
      </w:pPr>
      <w:r>
        <w:t xml:space="preserve">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per Wallet</w:t>
            </w:r>
          </w:p>
        </w:tc>
        <w:tc>
          <w:tcPr/>
          <w:p>
            <w:pPr>
              <w:pStyle w:val="Compact"/>
              <w:jc w:val="left"/>
            </w:pPr>
            <w:r>
              <w:t xml:space="preserve">Units</w:t>
            </w:r>
          </w:p>
        </w:tc>
        <w:tc>
          <w:tcPr/>
          <w:p>
            <w:pPr>
              <w:pStyle w:val="Compact"/>
              <w:jc w:val="left"/>
            </w:pPr>
            <w:r>
              <w:t xml:space="preserve">Notes</w:t>
            </w:r>
          </w:p>
        </w:tc>
      </w:tr>
      <w:tr>
        <w:tc>
          <w:tcPr/>
          <w:p>
            <w:pPr>
              <w:pStyle w:val="Compact"/>
              <w:jc w:val="left"/>
            </w:pPr>
            <w:r>
              <w:t xml:space="preserve">Leather (Finished)</w:t>
            </w:r>
          </w:p>
        </w:tc>
        <w:tc>
          <w:tcPr/>
          <w:p>
            <w:pPr>
              <w:pStyle w:val="Compact"/>
              <w:jc w:val="left"/>
            </w:pPr>
            <w:r>
              <w:t xml:space="preserve">0.15</w:t>
            </w:r>
          </w:p>
        </w:tc>
        <w:tc>
          <w:tcPr/>
          <w:p>
            <w:pPr>
              <w:pStyle w:val="Compact"/>
              <w:jc w:val="left"/>
            </w:pPr>
            <w:r>
              <w:t xml:space="preserve">m²</w:t>
            </w:r>
          </w:p>
        </w:tc>
        <w:tc>
          <w:tcPr/>
          <w:p>
            <w:pPr>
              <w:pStyle w:val="Compact"/>
              <w:jc w:val="left"/>
            </w:pPr>
            <w:r>
              <w:t xml:space="preserve">Premium bovine leather, assuming average hide dimensions.</w:t>
            </w:r>
          </w:p>
        </w:tc>
      </w:tr>
      <w:tr>
        <w:tc>
          <w:tcPr/>
          <w:p>
            <w:pPr>
              <w:pStyle w:val="Compact"/>
              <w:jc w:val="left"/>
            </w:pPr>
            <w:r>
              <w:t xml:space="preserve">Polyester Fabric (Lining)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For internal compartments and lining.</w:t>
            </w:r>
          </w:p>
        </w:tc>
      </w:tr>
      <w:tr>
        <w:tc>
          <w:tcPr/>
          <w:p>
            <w:pPr>
              <w:pStyle w:val="Compact"/>
              <w:jc w:val="left"/>
            </w:pPr>
            <w:r>
              <w:t xml:space="preserve">Polyester Thread</w:t>
            </w:r>
          </w:p>
        </w:tc>
        <w:tc>
          <w:tcPr/>
          <w:p>
            <w:pPr>
              <w:pStyle w:val="Compact"/>
              <w:jc w:val="left"/>
            </w:pPr>
            <w:r>
              <w:t xml:space="preserve">0.005</w:t>
            </w:r>
          </w:p>
        </w:tc>
        <w:tc>
          <w:tcPr/>
          <w:p>
            <w:pPr>
              <w:pStyle w:val="Compact"/>
              <w:jc w:val="left"/>
            </w:pPr>
            <w:r>
              <w:t xml:space="preserve">kg</w:t>
            </w:r>
          </w:p>
        </w:tc>
        <w:tc>
          <w:tcPr/>
          <w:p>
            <w:pPr>
              <w:pStyle w:val="Compact"/>
              <w:jc w:val="left"/>
            </w:pPr>
            <w:r>
              <w:t xml:space="preserve">For stitching and assembly.</w:t>
            </w:r>
          </w:p>
        </w:tc>
      </w:tr>
      <w:tr>
        <w:tc>
          <w:tcPr/>
          <w:p>
            <w:pPr>
              <w:pStyle w:val="Compact"/>
              <w:jc w:val="left"/>
            </w:pPr>
            <w:r>
              <w:t xml:space="preserve">Zinc Alloy (Metal Parts)</w:t>
            </w:r>
          </w:p>
        </w:tc>
        <w:tc>
          <w:tcPr/>
          <w:p>
            <w:pPr>
              <w:pStyle w:val="Compact"/>
              <w:jc w:val="left"/>
            </w:pPr>
            <w:r>
              <w:t xml:space="preserve">0.005</w:t>
            </w:r>
          </w:p>
        </w:tc>
        <w:tc>
          <w:tcPr/>
          <w:p>
            <w:pPr>
              <w:pStyle w:val="Compact"/>
              <w:jc w:val="left"/>
            </w:pPr>
            <w:r>
              <w:t xml:space="preserve">kg</w:t>
            </w:r>
          </w:p>
        </w:tc>
        <w:tc>
          <w:tcPr/>
          <w:p>
            <w:pPr>
              <w:pStyle w:val="Compact"/>
              <w:jc w:val="left"/>
            </w:pPr>
            <w:r>
              <w:t xml:space="preserve">For zipper pulls, logos, or other small hardware.</w:t>
            </w:r>
          </w:p>
        </w:tc>
      </w:tr>
      <w:tr>
        <w:tc>
          <w:tcPr/>
          <w:p>
            <w:pPr>
              <w:pStyle w:val="Compact"/>
              <w:jc w:val="left"/>
            </w:pPr>
            <w:r>
              <w:t xml:space="preserve">Adhesives</w:t>
            </w:r>
          </w:p>
        </w:tc>
        <w:tc>
          <w:tcPr/>
          <w:p>
            <w:pPr>
              <w:pStyle w:val="Compact"/>
              <w:jc w:val="left"/>
            </w:pPr>
            <w:r>
              <w:t xml:space="preserve">0.002</w:t>
            </w:r>
          </w:p>
        </w:tc>
        <w:tc>
          <w:tcPr/>
          <w:p>
            <w:pPr>
              <w:pStyle w:val="Compact"/>
              <w:jc w:val="left"/>
            </w:pPr>
            <w:r>
              <w:t xml:space="preserve">kg</w:t>
            </w:r>
          </w:p>
        </w:tc>
        <w:tc>
          <w:tcPr/>
          <w:p>
            <w:pPr>
              <w:pStyle w:val="Compact"/>
              <w:jc w:val="left"/>
            </w:pPr>
            <w:r>
              <w:t xml:space="preserve">For bonding specific layers or edges.</w:t>
            </w:r>
          </w:p>
        </w:tc>
      </w:tr>
      <w:tr>
        <w:tc>
          <w:tcPr/>
          <w:p>
            <w:pPr>
              <w:pStyle w:val="Compact"/>
              <w:jc w:val="left"/>
            </w:pPr>
            <w:r>
              <w:t xml:space="preserve">Cardboard (Primary Packaging)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Individual product box.</w:t>
            </w:r>
          </w:p>
        </w:tc>
      </w:tr>
      <w:tr>
        <w:tc>
          <w:tcPr/>
          <w:p>
            <w:pPr>
              <w:pStyle w:val="Compact"/>
              <w:jc w:val="left"/>
            </w:pPr>
            <w:r>
              <w:t xml:space="preserve">LDPE Polybag (Protective)</w:t>
            </w:r>
          </w:p>
        </w:tc>
        <w:tc>
          <w:tcPr/>
          <w:p>
            <w:pPr>
              <w:pStyle w:val="Compact"/>
              <w:jc w:val="left"/>
            </w:pPr>
            <w:r>
              <w:t xml:space="preserve">0.005</w:t>
            </w:r>
          </w:p>
        </w:tc>
        <w:tc>
          <w:tcPr/>
          <w:p>
            <w:pPr>
              <w:pStyle w:val="Compact"/>
              <w:jc w:val="left"/>
            </w:pPr>
            <w:r>
              <w:t xml:space="preserve">kg</w:t>
            </w:r>
          </w:p>
        </w:tc>
        <w:tc>
          <w:tcPr/>
          <w:p>
            <w:pPr>
              <w:pStyle w:val="Compact"/>
              <w:jc w:val="left"/>
            </w:pPr>
            <w:r>
              <w:t xml:space="preserve">Internal protective bag.</w:t>
            </w:r>
          </w:p>
        </w:tc>
      </w:tr>
    </w:tbl>
    <w:bookmarkEnd w:id="29"/>
    <w:bookmarkStart w:id="30" w:name="energy-inputs"/>
    <w:p>
      <w:pPr>
        <w:pStyle w:val="Heading4"/>
      </w:pPr>
      <w:r>
        <w:t xml:space="preserve">Energy Inputs: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Quantity per Wallet</w:t>
            </w:r>
          </w:p>
        </w:tc>
        <w:tc>
          <w:tcPr/>
          <w:p>
            <w:pPr>
              <w:pStyle w:val="Compact"/>
              <w:jc w:val="left"/>
            </w:pPr>
            <w:r>
              <w:t xml:space="preserve">Units</w:t>
            </w:r>
          </w:p>
        </w:tc>
        <w:tc>
          <w:tcPr/>
          <w:p>
            <w:pPr>
              <w:pStyle w:val="Compact"/>
              <w:jc w:val="left"/>
            </w:pPr>
            <w:r>
              <w:t xml:space="preserve">Notes</w:t>
            </w:r>
          </w:p>
        </w:tc>
      </w:tr>
      <w:tr>
        <w:tc>
          <w:tcPr/>
          <w:p>
            <w:pPr>
              <w:pStyle w:val="Compact"/>
              <w:jc w:val="left"/>
            </w:pPr>
            <w:r>
              <w:t xml:space="preserve">Electricity (Manufacturing)</w:t>
            </w:r>
          </w:p>
        </w:tc>
        <w:tc>
          <w:tcPr/>
          <w:p>
            <w:pPr>
              <w:pStyle w:val="Compact"/>
              <w:jc w:val="left"/>
            </w:pPr>
            <w:r>
              <w:t xml:space="preserve">0.2</w:t>
            </w:r>
          </w:p>
        </w:tc>
        <w:tc>
          <w:tcPr/>
          <w:p>
            <w:pPr>
              <w:pStyle w:val="Compact"/>
              <w:jc w:val="left"/>
            </w:pPr>
            <w:r>
              <w:t xml:space="preserve">kWh</w:t>
            </w:r>
          </w:p>
        </w:tc>
        <w:tc>
          <w:tcPr/>
          <w:p>
            <w:pPr>
              <w:pStyle w:val="Compact"/>
              <w:jc w:val="left"/>
            </w:pPr>
            <w:r>
              <w:t xml:space="preserve">Estimated for cutting, stitching, and finishing processes.</w:t>
            </w:r>
          </w:p>
        </w:tc>
      </w:tr>
    </w:tbl>
    <w:bookmarkEnd w:id="30"/>
    <w:bookmarkStart w:id="31" w:name="transportation-inputs"/>
    <w:p>
      <w:pPr>
        <w:pStyle w:val="Heading4"/>
      </w:pPr>
      <w:r>
        <w:t xml:space="preserve">Transportation Inputs: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Type</w:t>
            </w:r>
          </w:p>
        </w:tc>
        <w:tc>
          <w:tcPr/>
          <w:p>
            <w:pPr>
              <w:pStyle w:val="Compact"/>
              <w:jc w:val="left"/>
            </w:pPr>
            <w:r>
              <w:t xml:space="preserve">Material Group</w:t>
            </w:r>
          </w:p>
        </w:tc>
        <w:tc>
          <w:tcPr/>
          <w:p>
            <w:pPr>
              <w:pStyle w:val="Compact"/>
              <w:jc w:val="left"/>
            </w:pPr>
            <w:r>
              <w:t xml:space="preserve">Assumed Distance</w:t>
            </w:r>
          </w:p>
        </w:tc>
        <w:tc>
          <w:tcPr/>
          <w:p>
            <w:pPr>
              <w:pStyle w:val="Compact"/>
              <w:jc w:val="left"/>
            </w:pPr>
            <w:r>
              <w:t xml:space="preserve">Assumed Weight per Wallet for Transport</w:t>
            </w:r>
          </w:p>
        </w:tc>
        <w:tc>
          <w:tcPr/>
          <w:p>
            <w:pPr>
              <w:pStyle w:val="Compact"/>
              <w:jc w:val="left"/>
            </w:pPr>
            <w:r>
              <w:t xml:space="preserve">Units</w:t>
            </w:r>
          </w:p>
        </w:tc>
      </w:tr>
      <w:tr>
        <w:tc>
          <w:tcPr/>
          <w:p>
            <w:pPr>
              <w:pStyle w:val="Compact"/>
              <w:jc w:val="left"/>
            </w:pPr>
            <w:r>
              <w:t xml:space="preserve">Road Freight (HGV &gt; 20t)</w:t>
            </w:r>
          </w:p>
        </w:tc>
        <w:tc>
          <w:tcPr/>
          <w:p>
            <w:pPr>
              <w:pStyle w:val="Compact"/>
              <w:jc w:val="left"/>
            </w:pPr>
            <w:r>
              <w:t xml:space="preserve">Raw Materials (Leather, Polyester, Zinc, Adhesives)</w:t>
            </w:r>
          </w:p>
        </w:tc>
        <w:tc>
          <w:tcPr/>
          <w:p>
            <w:pPr>
              <w:pStyle w:val="Compact"/>
              <w:jc w:val="left"/>
            </w:pPr>
            <w:r>
              <w:t xml:space="preserve">1000</w:t>
            </w:r>
          </w:p>
        </w:tc>
        <w:tc>
          <w:tcPr/>
          <w:p>
            <w:pPr>
              <w:pStyle w:val="Compact"/>
              <w:jc w:val="left"/>
            </w:pPr>
            <w:r>
              <w:t xml:space="preserve">0.165</w:t>
            </w:r>
          </w:p>
        </w:tc>
        <w:tc>
          <w:tcPr/>
          <w:p>
            <w:pPr>
              <w:pStyle w:val="Compact"/>
              <w:jc w:val="left"/>
            </w:pPr>
            <w:r>
              <w:t xml:space="preserve">tonne-km (total product weight * distance)</w:t>
            </w:r>
          </w:p>
        </w:tc>
      </w:tr>
      <w:tr>
        <w:tc>
          <w:tcPr/>
          <w:p>
            <w:pPr>
              <w:pStyle w:val="Compact"/>
              <w:jc w:val="left"/>
            </w:pPr>
            <w:r>
              <w:t xml:space="preserve">Road Freight (HGV &gt; 20t)</w:t>
            </w:r>
          </w:p>
        </w:tc>
        <w:tc>
          <w:tcPr/>
          <w:p>
            <w:pPr>
              <w:pStyle w:val="Compact"/>
              <w:jc w:val="left"/>
            </w:pPr>
            <w:r>
              <w:t xml:space="preserve">Packaging Materials (Cardboard, LDPE)</w:t>
            </w:r>
          </w:p>
        </w:tc>
        <w:tc>
          <w:tcPr/>
          <w:p>
            <w:pPr>
              <w:pStyle w:val="Compact"/>
              <w:jc w:val="left"/>
            </w:pPr>
            <w:r>
              <w:t xml:space="preserve">500</w:t>
            </w:r>
          </w:p>
        </w:tc>
        <w:tc>
          <w:tcPr/>
          <w:p>
            <w:pPr>
              <w:pStyle w:val="Compact"/>
              <w:jc w:val="left"/>
            </w:pPr>
            <w:r>
              <w:t xml:space="preserve">0.055</w:t>
            </w:r>
          </w:p>
        </w:tc>
        <w:tc>
          <w:tcPr/>
          <w:p>
            <w:pPr>
              <w:pStyle w:val="Compact"/>
              <w:jc w:val="left"/>
            </w:pPr>
            <w:r>
              <w:t xml:space="preserve">tonne-km (total product weight * distance)</w:t>
            </w:r>
          </w:p>
        </w:tc>
      </w:tr>
    </w:tbl>
    <w:p>
      <w:r>
        <w:pict>
          <v:rect style="width:0;height:1.5pt" o:hralign="center" o:hrstd="t" o:hr="t"/>
        </w:pict>
      </w:r>
    </w:p>
    <w:bookmarkEnd w:id="31"/>
    <w:bookmarkEnd w:id="32"/>
    <w:bookmarkEnd w:id="33"/>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(quantities from Step 3) by relevant industry-standard emission factors. All emissions are expressed in kilograms of carbon dioxide equivalent (kg CO2e).</w:t>
      </w:r>
    </w:p>
    <w:bookmarkStart w:id="34" w:name="emission-factors-used"/>
    <w:p>
      <w:pPr>
        <w:pStyle w:val="Heading3"/>
      </w:pPr>
      <w:r>
        <w:t xml:space="preserve">Emission Factors Used: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Item</w:t>
            </w:r>
          </w:p>
        </w:tc>
        <w:tc>
          <w:tcPr/>
          <w:p>
            <w:pPr>
              <w:pStyle w:val="Compact"/>
              <w:jc w:val="left"/>
            </w:pPr>
            <w:r>
              <w:t xml:space="preserve">Emission Factor</w:t>
            </w:r>
          </w:p>
        </w:tc>
        <w:tc>
          <w:tcPr/>
          <w:p>
            <w:pPr>
              <w:pStyle w:val="Compact"/>
              <w:jc w:val="left"/>
            </w:pPr>
            <w:r>
              <w:t xml:space="preserve">Units</w:t>
            </w:r>
          </w:p>
        </w:tc>
        <w:tc>
          <w:tcPr/>
          <w:p>
            <w:pPr>
              <w:pStyle w:val="Compact"/>
              <w:jc w:val="left"/>
            </w:pPr>
            <w:r>
              <w:t xml:space="preserve">Source</w:t>
            </w:r>
          </w:p>
        </w:tc>
      </w:tr>
      <w:tr>
        <w:tc>
          <w:tcPr/>
          <w:p>
            <w:pPr>
              <w:pStyle w:val="Compact"/>
              <w:jc w:val="left"/>
            </w:pPr>
            <w:r>
              <w:t xml:space="preserve">Material Production</w:t>
            </w:r>
          </w:p>
        </w:tc>
        <w:tc>
          <w:tcPr/>
          <w:p>
            <w:pPr>
              <w:pStyle w:val="Compact"/>
              <w:jc w:val="left"/>
            </w:pPr>
            <w:r>
              <w:t xml:space="preserve">Leather (Finished)</w:t>
            </w:r>
          </w:p>
        </w:tc>
        <w:tc>
          <w:tcPr/>
          <w:p>
            <w:pPr>
              <w:pStyle w:val="Compact"/>
              <w:jc w:val="left"/>
            </w:pPr>
            <w:r>
              <w:t xml:space="preserve">110.0</w:t>
            </w:r>
          </w:p>
        </w:tc>
        <w:tc>
          <w:tcPr/>
          <w:p>
            <w:pPr>
              <w:pStyle w:val="Compact"/>
              <w:jc w:val="left"/>
            </w:pPr>
            <w:r>
              <w:t xml:space="preserve">kg CO2e/m²</w:t>
            </w:r>
          </w:p>
        </w:tc>
        <w:tc>
          <w:tcPr/>
          <w:p>
            <w:pPr>
              <w:pStyle w:val="Compact"/>
              <w:jc w:val="left"/>
            </w:pPr>
            <w:r>
              <w:t xml:space="preserve">Leather Working Group (LWG) / Collective Fashion Justice, including farm emissions</w:t>
            </w:r>
          </w:p>
        </w:tc>
      </w:tr>
      <w:tr>
        <w:tc>
          <w:tcPr/>
          <w:p>
            <w:pPr>
              <w:pStyle w:val="Compact"/>
              <w:jc w:val="left"/>
            </w:pPr>
            <w:r>
              <w:t xml:space="preserve">Material Production</w:t>
            </w:r>
          </w:p>
        </w:tc>
        <w:tc>
          <w:tcPr/>
          <w:p>
            <w:pPr>
              <w:pStyle w:val="Compact"/>
              <w:jc w:val="left"/>
            </w:pPr>
            <w:r>
              <w:t xml:space="preserve">Polyester Fabric/Thread (Virgin)</w:t>
            </w:r>
          </w:p>
        </w:tc>
        <w:tc>
          <w:tcPr/>
          <w:p>
            <w:pPr>
              <w:pStyle w:val="Compact"/>
              <w:jc w:val="left"/>
            </w:pPr>
            <w:r>
              <w:t xml:space="preserve">10.0</w:t>
            </w:r>
          </w:p>
        </w:tc>
        <w:tc>
          <w:tcPr/>
          <w:p>
            <w:pPr>
              <w:pStyle w:val="Compact"/>
              <w:jc w:val="left"/>
            </w:pPr>
            <w:r>
              <w:t xml:space="preserve">kg CO2e/kg</w:t>
            </w:r>
          </w:p>
        </w:tc>
        <w:tc>
          <w:tcPr/>
          <w:p>
            <w:pPr>
              <w:pStyle w:val="Compact"/>
              <w:jc w:val="left"/>
            </w:pPr>
            <w:r>
              <w:t xml:space="preserve">Conservative average for virgin polyester</w:t>
            </w:r>
          </w:p>
        </w:tc>
      </w:tr>
      <w:tr>
        <w:tc>
          <w:tcPr/>
          <w:p>
            <w:pPr>
              <w:pStyle w:val="Compact"/>
              <w:jc w:val="left"/>
            </w:pPr>
            <w:r>
              <w:t xml:space="preserve">Material Production</w:t>
            </w:r>
          </w:p>
        </w:tc>
        <w:tc>
          <w:tcPr/>
          <w:p>
            <w:pPr>
              <w:pStyle w:val="Compact"/>
              <w:jc w:val="left"/>
            </w:pPr>
            <w:r>
              <w:t xml:space="preserve">Zinc Alloy</w:t>
            </w:r>
          </w:p>
        </w:tc>
        <w:tc>
          <w:tcPr/>
          <w:p>
            <w:pPr>
              <w:pStyle w:val="Compact"/>
              <w:jc w:val="left"/>
            </w:pPr>
            <w:r>
              <w:t xml:space="preserve">5.177</w:t>
            </w:r>
          </w:p>
        </w:tc>
        <w:tc>
          <w:tcPr/>
          <w:p>
            <w:pPr>
              <w:pStyle w:val="Compact"/>
              <w:jc w:val="left"/>
            </w:pPr>
            <w:r>
              <w:t xml:space="preserve">kg CO2e/kg</w:t>
            </w:r>
          </w:p>
        </w:tc>
        <w:tc>
          <w:tcPr/>
          <w:p>
            <w:pPr>
              <w:pStyle w:val="Compact"/>
              <w:jc w:val="left"/>
            </w:pPr>
            <w:r>
              <w:t xml:space="preserve">Climatiq, Zinc primary, Germany</w:t>
            </w:r>
          </w:p>
        </w:tc>
      </w:tr>
      <w:tr>
        <w:tc>
          <w:tcPr/>
          <w:p>
            <w:pPr>
              <w:pStyle w:val="Compact"/>
              <w:jc w:val="left"/>
            </w:pPr>
            <w:r>
              <w:t xml:space="preserve">Material Production</w:t>
            </w:r>
          </w:p>
        </w:tc>
        <w:tc>
          <w:tcPr/>
          <w:p>
            <w:pPr>
              <w:pStyle w:val="Compact"/>
              <w:jc w:val="left"/>
            </w:pPr>
            <w:r>
              <w:t xml:space="preserve">Adhesives</w:t>
            </w:r>
          </w:p>
        </w:tc>
        <w:tc>
          <w:tcPr/>
          <w:p>
            <w:pPr>
              <w:pStyle w:val="Compact"/>
              <w:jc w:val="left"/>
            </w:pPr>
            <w:r>
              <w:t xml:space="preserve">3.0</w:t>
            </w:r>
          </w:p>
        </w:tc>
        <w:tc>
          <w:tcPr/>
          <w:p>
            <w:pPr>
              <w:pStyle w:val="Compact"/>
              <w:jc w:val="left"/>
            </w:pPr>
            <w:r>
              <w:t xml:space="preserve">kg CO2e/kg</w:t>
            </w:r>
          </w:p>
        </w:tc>
        <w:tc>
          <w:tcPr/>
          <w:p>
            <w:pPr>
              <w:pStyle w:val="Compact"/>
              <w:jc w:val="left"/>
            </w:pPr>
            <w:r>
              <w:t xml:space="preserve">Industrieverband Klebstoffe e.V. average</w:t>
            </w:r>
          </w:p>
        </w:tc>
      </w:tr>
      <w:tr>
        <w:tc>
          <w:tcPr/>
          <w:p>
            <w:pPr>
              <w:pStyle w:val="Compact"/>
              <w:jc w:val="left"/>
            </w:pPr>
            <w:r>
              <w:t xml:space="preserve">Material Production</w:t>
            </w:r>
          </w:p>
        </w:tc>
        <w:tc>
          <w:tcPr/>
          <w:p>
            <w:pPr>
              <w:pStyle w:val="Compact"/>
              <w:jc w:val="left"/>
            </w:pPr>
            <w:r>
              <w:t xml:space="preserve">Cardboard (Virgin)</w:t>
            </w:r>
          </w:p>
        </w:tc>
        <w:tc>
          <w:tcPr/>
          <w:p>
            <w:pPr>
              <w:pStyle w:val="Compact"/>
              <w:jc w:val="left"/>
            </w:pPr>
            <w:r>
              <w:t xml:space="preserve">0.80</w:t>
            </w:r>
          </w:p>
        </w:tc>
        <w:tc>
          <w:tcPr/>
          <w:p>
            <w:pPr>
              <w:pStyle w:val="Compact"/>
              <w:jc w:val="left"/>
            </w:pPr>
            <w:r>
              <w:t xml:space="preserve">kg CO2e/kg</w:t>
            </w:r>
          </w:p>
        </w:tc>
        <w:tc>
          <w:tcPr/>
          <w:p>
            <w:pPr>
              <w:pStyle w:val="Compact"/>
              <w:jc w:val="left"/>
            </w:pPr>
            <w:r>
              <w:t xml:space="preserve">DEFRA, virgin cardboard</w:t>
            </w:r>
          </w:p>
        </w:tc>
      </w:tr>
      <w:tr>
        <w:tc>
          <w:tcPr/>
          <w:p>
            <w:pPr>
              <w:pStyle w:val="Compact"/>
              <w:jc w:val="left"/>
            </w:pPr>
            <w:r>
              <w:t xml:space="preserve">Material Production</w:t>
            </w:r>
          </w:p>
        </w:tc>
        <w:tc>
          <w:tcPr/>
          <w:p>
            <w:pPr>
              <w:pStyle w:val="Compact"/>
              <w:jc w:val="left"/>
            </w:pPr>
            <w:r>
              <w:t xml:space="preserve">LDPE Polybag</w:t>
            </w:r>
          </w:p>
        </w:tc>
        <w:tc>
          <w:tcPr/>
          <w:p>
            <w:pPr>
              <w:pStyle w:val="Compact"/>
              <w:jc w:val="left"/>
            </w:pPr>
            <w:r>
              <w:t xml:space="preserve">3.5</w:t>
            </w:r>
          </w:p>
        </w:tc>
        <w:tc>
          <w:tcPr/>
          <w:p>
            <w:pPr>
              <w:pStyle w:val="Compact"/>
              <w:jc w:val="left"/>
            </w:pPr>
            <w:r>
              <w:t xml:space="preserve">kg CO2e/kg</w:t>
            </w:r>
          </w:p>
        </w:tc>
        <w:tc>
          <w:tcPr/>
          <w:p>
            <w:pPr>
              <w:pStyle w:val="Compact"/>
              <w:jc w:val="left"/>
            </w:pPr>
            <w:r>
              <w:t xml:space="preserve">Average of various sources for LDPE</w:t>
            </w:r>
          </w:p>
        </w:tc>
      </w:tr>
      <w:tr>
        <w:tc>
          <w:tcPr/>
          <w:p>
            <w:pPr>
              <w:pStyle w:val="Compact"/>
              <w:jc w:val="left"/>
            </w:pPr>
            <w:r>
              <w:t xml:space="preserve">Energy Consumption</w:t>
            </w:r>
          </w:p>
        </w:tc>
        <w:tc>
          <w:tcPr/>
          <w:p>
            <w:pPr>
              <w:pStyle w:val="Compact"/>
              <w:jc w:val="left"/>
            </w:pPr>
            <w:r>
              <w:t xml:space="preserve">Electricity (Netherlands Grid Mix)</w:t>
            </w:r>
          </w:p>
        </w:tc>
        <w:tc>
          <w:tcPr/>
          <w:p>
            <w:pPr>
              <w:pStyle w:val="Compact"/>
              <w:jc w:val="left"/>
            </w:pPr>
            <w:r>
              <w:t xml:space="preserve">0.38</w:t>
            </w:r>
          </w:p>
        </w:tc>
        <w:tc>
          <w:tcPr/>
          <w:p>
            <w:pPr>
              <w:pStyle w:val="Compact"/>
              <w:jc w:val="left"/>
            </w:pPr>
            <w:r>
              <w:t xml:space="preserve">kg CO2e/kWh</w:t>
            </w:r>
          </w:p>
        </w:tc>
        <w:tc>
          <w:tcPr/>
          <w:p>
            <w:pPr>
              <w:pStyle w:val="Compact"/>
              <w:jc w:val="left"/>
            </w:pPr>
            <w:r>
              <w:t xml:space="preserve">CE Delft, Nowtricity, Netherlands electricity mix</w:t>
            </w:r>
          </w:p>
        </w:tc>
      </w:tr>
      <w:tr>
        <w:tc>
          <w:tcPr/>
          <w:p>
            <w:pPr>
              <w:pStyle w:val="Compact"/>
              <w:jc w:val="left"/>
            </w:pPr>
            <w:r>
              <w:t xml:space="preserve">Transportation</w:t>
            </w:r>
          </w:p>
        </w:tc>
        <w:tc>
          <w:tcPr/>
          <w:p>
            <w:pPr>
              <w:pStyle w:val="Compact"/>
              <w:jc w:val="left"/>
            </w:pPr>
            <w:r>
              <w:t xml:space="preserve">Road Freight (HGV &gt; 20t, Europe)</w:t>
            </w:r>
          </w:p>
        </w:tc>
        <w:tc>
          <w:tcPr/>
          <w:p>
            <w:pPr>
              <w:pStyle w:val="Compact"/>
              <w:jc w:val="left"/>
            </w:pPr>
            <w:r>
              <w:t xml:space="preserve">0.07</w:t>
            </w:r>
          </w:p>
        </w:tc>
        <w:tc>
          <w:tcPr/>
          <w:p>
            <w:pPr>
              <w:pStyle w:val="Compact"/>
              <w:jc w:val="left"/>
            </w:pPr>
            <w:r>
              <w:t xml:space="preserve">kg CO2e/tonne-km</w:t>
            </w:r>
          </w:p>
        </w:tc>
        <w:tc>
          <w:tcPr/>
          <w:p>
            <w:pPr>
              <w:pStyle w:val="Compact"/>
              <w:jc w:val="left"/>
            </w:pPr>
            <w:r>
              <w:t xml:space="preserve">GLEC, McKinnon, Europe road freight</w:t>
            </w:r>
          </w:p>
        </w:tc>
      </w:tr>
    </w:tbl>
    <w:bookmarkEnd w:id="34"/>
    <w:bookmarkStart w:id="41" w:name="detailed-emissions-calculation"/>
    <w:p>
      <w:pPr>
        <w:pStyle w:val="Heading3"/>
      </w:pPr>
      <w:r>
        <w:t xml:space="preserve">Detailed Emissions Calculation:</w:t>
      </w:r>
    </w:p>
    <w:bookmarkStart w:id="35" w:name="scope-1-emissions-direct-emissions"/>
    <w:p>
      <w:pPr>
        <w:pStyle w:val="Heading4"/>
      </w:pPr>
      <w:r>
        <w:t xml:space="preserve">Scope 1 Emissions (Direct Emissions):</w:t>
      </w:r>
    </w:p>
    <w:p>
      <w:pPr>
        <w:pStyle w:val="FirstParagraph"/>
      </w:pPr>
      <w:r>
        <w:t xml:space="preserve">For a typical leather wallet manufacturing facility, direct (Scope 1) emissions from owned or controlled sources (e.g., on-site fuel combustion) are often minimal, especially for a "factory_gate" boundary focused on product manufacturing. Assuming modern facilities in the Netherlands primarily use purchased electricity and have no significant direct combustion of fuels on-site for the product\'s immediate production, we estimate Scope 1 emissions for the functional unit to be **0.00 kg CO2e**.</w:t>
      </w:r>
    </w:p>
    <w:bookmarkEnd w:id="35"/>
    <w:bookmarkStart w:id="36" w:name="scope-2-emissions-purchased-energy"/>
    <w:p>
      <w:pPr>
        <w:pStyle w:val="Heading4"/>
      </w:pPr>
      <w:r>
        <w:t xml:space="preserve">Scope 2 Emissions (Purchased Energy):</w:t>
      </w:r>
    </w:p>
    <w:p>
      <w:pPr>
        <w:pStyle w:val="FirstParagraph"/>
      </w:pPr>
      <w:r>
        <w:t xml:space="preserve">These emissions arise from the generation of purchased electricity consumed by the reporting company (the manufacturing facility).</w:t>
      </w:r>
    </w:p>
    <w:p>
      <w:pPr>
        <w:numPr>
          <w:ilvl w:val="0"/>
          <w:numId w:val="1005"/>
        </w:numPr>
        <w:pStyle w:val="Compact"/>
      </w:pPr>
      <w:r>
        <w:t xml:space="preserve">Electricity Consumption: 0.2 kWh/wallet</w:t>
      </w:r>
    </w:p>
    <w:p>
      <w:pPr>
        <w:numPr>
          <w:ilvl w:val="0"/>
          <w:numId w:val="1005"/>
        </w:numPr>
        <w:pStyle w:val="Compact"/>
      </w:pPr>
      <w:r>
        <w:t xml:space="preserve">Emission Factor: 0.38 kg CO2e/kWh</w:t>
      </w:r>
    </w:p>
    <w:p>
      <w:pPr>
        <w:numPr>
          <w:ilvl w:val="0"/>
          <w:numId w:val="1005"/>
        </w:numPr>
        <w:pStyle w:val="Compact"/>
      </w:pPr>
      <w:r>
        <w:t xml:space="preserve">Calculation: 0.2 kWh * 0.38 kg CO2e/kWh = 0.076 kg CO2e</w:t>
      </w:r>
    </w:p>
    <w:p>
      <w:pPr>
        <w:pStyle w:val="FirstParagraph"/>
      </w:pPr>
      <w:r>
        <w:rPr>
          <w:bCs/>
          <w:b/>
        </w:rPr>
        <w:t xml:space="preserve">Total Scope 2 Emissions: 0.076 kg CO2e</w:t>
      </w:r>
    </w:p>
    <w:bookmarkEnd w:id="36"/>
    <w:bookmarkStart w:id="40" w:name="scope-3-emissions-value-chain-emissions"/>
    <w:p>
      <w:pPr>
        <w:pStyle w:val="Heading4"/>
      </w:pPr>
      <w:r>
        <w:t xml:space="preserve">Scope 3 Emissions (Value Chain Emissions):</w:t>
      </w:r>
    </w:p>
    <w:p>
      <w:pPr>
        <w:pStyle w:val="FirstParagraph"/>
      </w:pPr>
      <w:r>
        <w:t xml:space="preserve">Scope 3 emissions cover indirect emissions upstream and downstream in the value chain. For a cradle-to-gate PCF, this primarily focuses on upstream activities, ensuring 95% coverage as per 2026 requirements.</w:t>
      </w:r>
    </w:p>
    <w:bookmarkStart w:id="37" w:name="X5bd8c36f53b9827a399c241227416011e048ebf"/>
    <w:p>
      <w:pPr>
        <w:pStyle w:val="Heading5"/>
      </w:pPr>
      <w:r>
        <w:t xml:space="preserve">Category 1: Purchased Goods and Services (Raw Material Production)</w:t>
      </w:r>
    </w:p>
    <w:p>
      <w:pPr>
        <w:numPr>
          <w:ilvl w:val="0"/>
          <w:numId w:val="1006"/>
        </w:numPr>
        <w:pStyle w:val="Compact"/>
      </w:pPr>
      <w:r>
        <w:t xml:space="preserve">**Leather:**</w:t>
      </w:r>
    </w:p>
    <w:p>
      <w:pPr>
        <w:numPr>
          <w:ilvl w:val="1"/>
          <w:numId w:val="1007"/>
        </w:numPr>
        <w:pStyle w:val="Compact"/>
      </w:pPr>
      <w:r>
        <w:t xml:space="preserve">Quantity: 0.15 m²</w:t>
      </w:r>
    </w:p>
    <w:p>
      <w:pPr>
        <w:numPr>
          <w:ilvl w:val="1"/>
          <w:numId w:val="1007"/>
        </w:numPr>
        <w:pStyle w:val="Compact"/>
      </w:pPr>
      <w:r>
        <w:t xml:space="preserve">Emission Factor: 110.0 kg CO2e/m²</w:t>
      </w:r>
    </w:p>
    <w:p>
      <w:pPr>
        <w:numPr>
          <w:ilvl w:val="1"/>
          <w:numId w:val="1007"/>
        </w:numPr>
        <w:pStyle w:val="Compact"/>
      </w:pPr>
      <w:r>
        <w:t xml:space="preserve">Calculation: 0.15 m² * 110.0 kg CO2e/m² = 16.50 kg CO2e</w:t>
      </w:r>
    </w:p>
    <w:p>
      <w:pPr>
        <w:numPr>
          <w:ilvl w:val="1"/>
          <w:numId w:val="1007"/>
        </w:numPr>
        <w:pStyle w:val="Compact"/>
      </w:pPr>
      <w:r>
        <w:t xml:space="preserve">*Note on LSR Standard:* The high emission factor for leather explicitly includes upstream farming and slaughtering impacts, directly addressing land use, enteric methane, and manure emissions as required by the 2026 LSR Standard for agricultural products.</w:t>
      </w:r>
    </w:p>
    <w:p>
      <w:pPr>
        <w:numPr>
          <w:ilvl w:val="0"/>
          <w:numId w:val="1006"/>
        </w:numPr>
        <w:pStyle w:val="Compact"/>
      </w:pPr>
      <w:r>
        <w:t xml:space="preserve">**Polyester Fabric:**</w:t>
      </w:r>
    </w:p>
    <w:p>
      <w:pPr>
        <w:numPr>
          <w:ilvl w:val="1"/>
          <w:numId w:val="1008"/>
        </w:numPr>
        <w:pStyle w:val="Compact"/>
      </w:pPr>
      <w:r>
        <w:t xml:space="preserve">Quantity: 0.05 kg</w:t>
      </w:r>
    </w:p>
    <w:p>
      <w:pPr>
        <w:numPr>
          <w:ilvl w:val="1"/>
          <w:numId w:val="1008"/>
        </w:numPr>
        <w:pStyle w:val="Compact"/>
      </w:pPr>
      <w:r>
        <w:t xml:space="preserve">Emission Factor: 10.0 kg CO2e/kg</w:t>
      </w:r>
    </w:p>
    <w:p>
      <w:pPr>
        <w:numPr>
          <w:ilvl w:val="1"/>
          <w:numId w:val="1008"/>
        </w:numPr>
        <w:pStyle w:val="Compact"/>
      </w:pPr>
      <w:r>
        <w:t xml:space="preserve">Calculation: 0.05 kg * 10.0 kg CO2e/kg = 0.50 kg CO2e</w:t>
      </w:r>
    </w:p>
    <w:p>
      <w:pPr>
        <w:numPr>
          <w:ilvl w:val="0"/>
          <w:numId w:val="1006"/>
        </w:numPr>
        <w:pStyle w:val="Compact"/>
      </w:pPr>
      <w:r>
        <w:t xml:space="preserve">**Polyester Thread:**</w:t>
      </w:r>
    </w:p>
    <w:p>
      <w:pPr>
        <w:numPr>
          <w:ilvl w:val="1"/>
          <w:numId w:val="1009"/>
        </w:numPr>
        <w:pStyle w:val="Compact"/>
      </w:pPr>
      <w:r>
        <w:t xml:space="preserve">Quantity: 0.005 kg</w:t>
      </w:r>
    </w:p>
    <w:p>
      <w:pPr>
        <w:numPr>
          <w:ilvl w:val="1"/>
          <w:numId w:val="1009"/>
        </w:numPr>
        <w:pStyle w:val="Compact"/>
      </w:pPr>
      <w:r>
        <w:t xml:space="preserve">Emission Factor: 10.0 kg CO2e/kg</w:t>
      </w:r>
    </w:p>
    <w:p>
      <w:pPr>
        <w:numPr>
          <w:ilvl w:val="1"/>
          <w:numId w:val="1009"/>
        </w:numPr>
        <w:pStyle w:val="Compact"/>
      </w:pPr>
      <w:r>
        <w:t xml:space="preserve">Calculation: 0.005 kg * 10.0 kg CO2e/kg = 0.05 kg CO2e</w:t>
      </w:r>
    </w:p>
    <w:p>
      <w:pPr>
        <w:numPr>
          <w:ilvl w:val="0"/>
          <w:numId w:val="1006"/>
        </w:numPr>
        <w:pStyle w:val="Compact"/>
      </w:pPr>
      <w:r>
        <w:t xml:space="preserve">**Zinc Alloy:**</w:t>
      </w:r>
    </w:p>
    <w:p>
      <w:pPr>
        <w:numPr>
          <w:ilvl w:val="1"/>
          <w:numId w:val="1010"/>
        </w:numPr>
        <w:pStyle w:val="Compact"/>
      </w:pPr>
      <w:r>
        <w:t xml:space="preserve">Quantity: 0.005 kg</w:t>
      </w:r>
    </w:p>
    <w:p>
      <w:pPr>
        <w:numPr>
          <w:ilvl w:val="1"/>
          <w:numId w:val="1010"/>
        </w:numPr>
        <w:pStyle w:val="Compact"/>
      </w:pPr>
      <w:r>
        <w:t xml:space="preserve">Emission Factor: 5.177 kg CO2e/kg</w:t>
      </w:r>
    </w:p>
    <w:p>
      <w:pPr>
        <w:numPr>
          <w:ilvl w:val="1"/>
          <w:numId w:val="1010"/>
        </w:numPr>
        <w:pStyle w:val="Compact"/>
      </w:pPr>
      <w:r>
        <w:t xml:space="preserve">Calculation: 0.005 kg * 5.177 kg CO2e/kg = 0.026 kg CO2e</w:t>
      </w:r>
    </w:p>
    <w:p>
      <w:pPr>
        <w:numPr>
          <w:ilvl w:val="0"/>
          <w:numId w:val="1006"/>
        </w:numPr>
        <w:pStyle w:val="Compact"/>
      </w:pPr>
      <w:r>
        <w:t xml:space="preserve">**Adhesives:**</w:t>
      </w:r>
    </w:p>
    <w:p>
      <w:pPr>
        <w:numPr>
          <w:ilvl w:val="1"/>
          <w:numId w:val="1011"/>
        </w:numPr>
        <w:pStyle w:val="Compact"/>
      </w:pPr>
      <w:r>
        <w:t xml:space="preserve">Quantity: 0.002 kg</w:t>
      </w:r>
    </w:p>
    <w:p>
      <w:pPr>
        <w:numPr>
          <w:ilvl w:val="1"/>
          <w:numId w:val="1011"/>
        </w:numPr>
        <w:pStyle w:val="Compact"/>
      </w:pPr>
      <w:r>
        <w:t xml:space="preserve">Emission Factor: 3.0 kg CO2e/kg</w:t>
      </w:r>
    </w:p>
    <w:p>
      <w:pPr>
        <w:numPr>
          <w:ilvl w:val="1"/>
          <w:numId w:val="1011"/>
        </w:numPr>
        <w:pStyle w:val="Compact"/>
      </w:pPr>
      <w:r>
        <w:t xml:space="preserve">Calculation: 0.002 kg * 3.0 kg CO2e/kg = 0.006 kg CO2e</w:t>
      </w:r>
    </w:p>
    <w:p>
      <w:pPr>
        <w:numPr>
          <w:ilvl w:val="0"/>
          <w:numId w:val="1006"/>
        </w:numPr>
        <w:pStyle w:val="Compact"/>
      </w:pPr>
      <w:r>
        <w:t xml:space="preserve">**Cardboard Packaging:**</w:t>
      </w:r>
    </w:p>
    <w:p>
      <w:pPr>
        <w:numPr>
          <w:ilvl w:val="1"/>
          <w:numId w:val="1012"/>
        </w:numPr>
        <w:pStyle w:val="Compact"/>
      </w:pPr>
      <w:r>
        <w:t xml:space="preserve">Quantity: 0.05 kg</w:t>
      </w:r>
    </w:p>
    <w:p>
      <w:pPr>
        <w:numPr>
          <w:ilvl w:val="1"/>
          <w:numId w:val="1012"/>
        </w:numPr>
        <w:pStyle w:val="Compact"/>
      </w:pPr>
      <w:r>
        <w:t xml:space="preserve">Emission Factor: 0.80 kg CO2e/kg</w:t>
      </w:r>
    </w:p>
    <w:p>
      <w:pPr>
        <w:numPr>
          <w:ilvl w:val="1"/>
          <w:numId w:val="1012"/>
        </w:numPr>
        <w:pStyle w:val="Compact"/>
      </w:pPr>
      <w:r>
        <w:t xml:space="preserve">Calculation: 0.05 kg * 0.80 kg CO2e/kg = 0.04 kg CO2e</w:t>
      </w:r>
    </w:p>
    <w:p>
      <w:pPr>
        <w:numPr>
          <w:ilvl w:val="0"/>
          <w:numId w:val="1006"/>
        </w:numPr>
        <w:pStyle w:val="Compact"/>
      </w:pPr>
      <w:r>
        <w:t xml:space="preserve">**LDPE Polybag:**</w:t>
      </w:r>
    </w:p>
    <w:p>
      <w:pPr>
        <w:numPr>
          <w:ilvl w:val="1"/>
          <w:numId w:val="1013"/>
        </w:numPr>
        <w:pStyle w:val="Compact"/>
      </w:pPr>
      <w:r>
        <w:t xml:space="preserve">Quantity: 0.005 kg</w:t>
      </w:r>
    </w:p>
    <w:p>
      <w:pPr>
        <w:numPr>
          <w:ilvl w:val="1"/>
          <w:numId w:val="1013"/>
        </w:numPr>
        <w:pStyle w:val="Compact"/>
      </w:pPr>
      <w:r>
        <w:t xml:space="preserve">Emission Factor: 3.5 kg CO2e/kg</w:t>
      </w:r>
    </w:p>
    <w:p>
      <w:pPr>
        <w:numPr>
          <w:ilvl w:val="1"/>
          <w:numId w:val="1013"/>
        </w:numPr>
        <w:pStyle w:val="Compact"/>
      </w:pPr>
      <w:r>
        <w:t xml:space="preserve">Calculation: 0.005 kg * 3.5 kg CO2e/kg = 0.018 kg CO2e</w:t>
      </w:r>
    </w:p>
    <w:p>
      <w:pPr>
        <w:pStyle w:val="FirstParagraph"/>
      </w:pPr>
      <w:r>
        <w:t xml:space="preserve">Sub-total Scope 3 - Purchased Goods &amp; Services: 16.50 + 0.50 + 0.05 + 0.026 + 0.006 + 0.04 + 0.018 = **17.14 kg CO2e**</w:t>
      </w:r>
    </w:p>
    <w:bookmarkEnd w:id="37"/>
    <w:bookmarkStart w:id="38" w:name="X6669a43143349c25ec93e775eebde43de53a73c"/>
    <w:p>
      <w:pPr>
        <w:pStyle w:val="Heading5"/>
      </w:pPr>
      <w:r>
        <w:t xml:space="preserve">Category 4: Upstream Transportation and Distribution</w:t>
      </w:r>
    </w:p>
    <w:p>
      <w:pPr>
        <w:numPr>
          <w:ilvl w:val="0"/>
          <w:numId w:val="1014"/>
        </w:numPr>
        <w:pStyle w:val="Compact"/>
      </w:pPr>
      <w:r>
        <w:t xml:space="preserve">**Raw Materials Transport (excluding packaging):**</w:t>
      </w:r>
    </w:p>
    <w:p>
      <w:pPr>
        <w:numPr>
          <w:ilvl w:val="1"/>
          <w:numId w:val="1015"/>
        </w:numPr>
        <w:pStyle w:val="Compact"/>
      </w:pPr>
      <w:r>
        <w:t xml:space="preserve">Weight for Transport: 0.165 kg (0.000165 tonnes)</w:t>
      </w:r>
    </w:p>
    <w:p>
      <w:pPr>
        <w:numPr>
          <w:ilvl w:val="1"/>
          <w:numId w:val="1015"/>
        </w:numPr>
        <w:pStyle w:val="Compact"/>
      </w:pPr>
      <w:r>
        <w:t xml:space="preserve">Distance: 1000 km</w:t>
      </w:r>
    </w:p>
    <w:p>
      <w:pPr>
        <w:numPr>
          <w:ilvl w:val="1"/>
          <w:numId w:val="1015"/>
        </w:numPr>
        <w:pStyle w:val="Compact"/>
      </w:pPr>
      <w:r>
        <w:t xml:space="preserve">Emission Factor: 0.07 kg CO2e/tonne-km</w:t>
      </w:r>
    </w:p>
    <w:p>
      <w:pPr>
        <w:numPr>
          <w:ilvl w:val="1"/>
          <w:numId w:val="1015"/>
        </w:numPr>
        <w:pStyle w:val="Compact"/>
      </w:pPr>
      <w:r>
        <w:t xml:space="preserve">Calculation: 0.000165 tonnes * 1000 km * 0.07 kg CO2e/tonne-km = 0.012 kg CO2e</w:t>
      </w:r>
    </w:p>
    <w:p>
      <w:pPr>
        <w:numPr>
          <w:ilvl w:val="0"/>
          <w:numId w:val="1014"/>
        </w:numPr>
        <w:pStyle w:val="Compact"/>
      </w:pPr>
      <w:r>
        <w:t xml:space="preserve">**Packaging Materials Transport:**</w:t>
      </w:r>
    </w:p>
    <w:p>
      <w:pPr>
        <w:numPr>
          <w:ilvl w:val="1"/>
          <w:numId w:val="1016"/>
        </w:numPr>
        <w:pStyle w:val="Compact"/>
      </w:pPr>
      <w:r>
        <w:t xml:space="preserve">Weight for Transport: 0.055 kg (0.000055 tonnes)</w:t>
      </w:r>
    </w:p>
    <w:p>
      <w:pPr>
        <w:numPr>
          <w:ilvl w:val="1"/>
          <w:numId w:val="1016"/>
        </w:numPr>
        <w:pStyle w:val="Compact"/>
      </w:pPr>
      <w:r>
        <w:t xml:space="preserve">Distance: 500 km</w:t>
      </w:r>
    </w:p>
    <w:p>
      <w:pPr>
        <w:numPr>
          <w:ilvl w:val="1"/>
          <w:numId w:val="1016"/>
        </w:numPr>
        <w:pStyle w:val="Compact"/>
      </w:pPr>
      <w:r>
        <w:t xml:space="preserve">Emission Factor: 0.07 kg CO2e/tonne-km</w:t>
      </w:r>
    </w:p>
    <w:p>
      <w:pPr>
        <w:numPr>
          <w:ilvl w:val="1"/>
          <w:numId w:val="1016"/>
        </w:numPr>
        <w:pStyle w:val="Compact"/>
      </w:pPr>
      <w:r>
        <w:t xml:space="preserve">Calculation: 0.000055 tonnes * 500 km * 0.07 kg CO2e/tonne-km = 0.002 kg CO2e</w:t>
      </w:r>
    </w:p>
    <w:p>
      <w:pPr>
        <w:pStyle w:val="FirstParagraph"/>
      </w:pPr>
      <w:r>
        <w:t xml:space="preserve">Sub-total Scope 3 - Upstream Transportation: 0.012 + 0.002 = **0.014 kg CO2e**</w:t>
      </w:r>
    </w:p>
    <w:bookmarkEnd w:id="38"/>
    <w:bookmarkStart w:id="39" w:name="X9d087a441400f4149471226f2d7a3ad8fabd7a8"/>
    <w:p>
      <w:pPr>
        <w:pStyle w:val="Heading5"/>
      </w:pPr>
      <w:r>
        <w:t xml:space="preserve">Category 3: Fuel- and Energy-Related Activities (not included in Scope 1 or 2)</w:t>
      </w:r>
    </w:p>
    <w:p>
      <w:pPr>
        <w:pStyle w:val="FirstParagraph"/>
      </w:pPr>
      <w:r>
        <w:t xml:space="preserve">This category accounts for upstream emissions associated with purchased electricity, such as extraction, production, and transportation of fuels used for electricity generation, and transmission and distribution (T&amp;D) losses. For simplicity in this cradle-to-gate PCF, the electricity emission factor used (0.38 kg CO2e/kWh) from CE Delft is explicitly stated to include "chain emissions", meaning upstream fuel production and transport are already embedded. Therefore, a separate calculation here would be double-counting. We consider this embedded within the Scope 2 factor for reporting clarity for the product footprint.</w:t>
      </w:r>
    </w:p>
    <w:p>
      <w:pPr>
        <w:pStyle w:val="BodyText"/>
      </w:pPr>
      <w:r>
        <w:rPr>
          <w:bCs/>
          <w:b/>
        </w:rPr>
        <w:t xml:space="preserve">Total Scope 3 Emissions: 17.14 kg CO2e (Purchased Goods &amp; Services) + 0.014 kg CO2e (Upstream Transportation) = 17.154 kg CO2e</w:t>
      </w:r>
    </w:p>
    <w:bookmarkEnd w:id="39"/>
    <w:bookmarkEnd w:id="40"/>
    <w:bookmarkEnd w:id="41"/>
    <w:bookmarkStart w:id="42" w:name="summary-of-emissions-per-leather-wallet"/>
    <w:p>
      <w:pPr>
        <w:pStyle w:val="Heading3"/>
      </w:pPr>
      <w:r>
        <w:t xml:space="preserve">Summary of Emissions per Leather Wallet: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0.076</w:t>
            </w:r>
          </w:p>
        </w:tc>
        <w:tc>
          <w:tcPr/>
          <w:p>
            <w:pPr>
              <w:pStyle w:val="Compact"/>
              <w:jc w:val="left"/>
            </w:pPr>
            <w:r>
              <w:t xml:space="preserve">0.44%</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17.140</w:t>
            </w:r>
          </w:p>
        </w:tc>
        <w:tc>
          <w:tcPr/>
          <w:p>
            <w:pPr>
              <w:pStyle w:val="Compact"/>
              <w:jc w:val="left"/>
            </w:pPr>
            <w:r>
              <w:t xml:space="preserve">99.19%</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0.014</w:t>
            </w:r>
          </w:p>
        </w:tc>
        <w:tc>
          <w:tcPr/>
          <w:p>
            <w:pPr>
              <w:pStyle w:val="Compact"/>
              <w:jc w:val="left"/>
            </w:pPr>
            <w:r>
              <w:t xml:space="preserve">0.08%</w:t>
            </w:r>
          </w:p>
        </w:tc>
      </w:tr>
      <w:tr>
        <w:tc>
          <w:tcPr/>
          <w:p>
            <w:pPr>
              <w:pStyle w:val="Compact"/>
              <w:jc w:val="left"/>
            </w:pPr>
            <w:r>
              <w:rPr>
                <w:bCs/>
                <w:b/>
              </w:rPr>
              <w:t xml:space="preserve">Total PCF (Cradle-to-Gate)</w:t>
            </w:r>
          </w:p>
        </w:tc>
        <w:tc>
          <w:tcPr/>
          <w:p>
            <w:pPr>
              <w:pStyle w:val="Compact"/>
            </w:pPr>
          </w:p>
        </w:tc>
        <w:tc>
          <w:tcPr/>
          <w:p>
            <w:pPr>
              <w:pStyle w:val="Compact"/>
              <w:jc w:val="left"/>
            </w:pPr>
            <w:r>
              <w:rPr>
                <w:bCs/>
                <w:b/>
              </w:rPr>
              <w:t xml:space="preserve">17.230</w:t>
            </w:r>
          </w:p>
        </w:tc>
        <w:tc>
          <w:tcPr/>
          <w:p>
            <w:pPr>
              <w:pStyle w:val="Compact"/>
              <w:jc w:val="left"/>
            </w:pPr>
            <w:r>
              <w:rPr>
                <w:bCs/>
                <w:b/>
              </w:rPr>
              <w:t xml:space="preserve">100.00%</w:t>
            </w:r>
          </w:p>
        </w:tc>
      </w:tr>
    </w:tbl>
    <w:p>
      <w:pPr>
        <w:pStyle w:val="BodyText"/>
      </w:pPr>
      <w:r>
        <w:t xml:space="preserve">The Scope 3 reporting coverage is 100% for the defined cradle-to-gate boundary, exceeding the 95% requirement for 2026.</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s-analysis"/>
    <w:p>
      <w:pPr>
        <w:pStyle w:val="Heading3"/>
      </w:pPr>
      <w:r>
        <w:t xml:space="preserve">Hotspots Analysis:</w:t>
      </w:r>
    </w:p>
    <w:p>
      <w:pPr>
        <w:pStyle w:val="FirstParagraph"/>
      </w:pPr>
      <w:r>
        <w:t xml:space="preserve">The primary emissions hotspot for the leather wallet is overwhelmingly in</w:t>
      </w:r>
      <w:r>
        <w:t xml:space="preserve"> </w:t>
      </w:r>
      <w:r>
        <w:rPr>
          <w:bCs/>
          <w:b/>
        </w:rPr>
        <w:t xml:space="preserve">Scope 3, Category 1: Purchased Goods and Services</w:t>
      </w:r>
      <w:r>
        <w:t xml:space="preserve">, specifically related to the production of **leather** itself. Accounting for 16.50 kg CO2e out of a total of 17.23 kg CO2e, leather production constitutes approximately 95.76% of the total product carbon footprint up to the factory gate. This significant impact is largely due to the upstream farming processes associated with cattle (enteric methane, manure management, and land use change), as highlighted by the LSR Standard.</w:t>
      </w:r>
    </w:p>
    <w:p>
      <w:pPr>
        <w:pStyle w:val="BodyText"/>
      </w:pPr>
      <w:r>
        <w:t xml:space="preserve">Other material inputs and manufacturing electricity contribute much smaller percentages, demonstrating the critical importance of addressing the raw material stage for this product.</w:t>
      </w:r>
    </w:p>
    <w:bookmarkEnd w:id="44"/>
    <w:bookmarkStart w:id="45" w:name="reliability-and-limitations"/>
    <w:p>
      <w:pPr>
        <w:pStyle w:val="Heading3"/>
      </w:pPr>
      <w:r>
        <w:t xml:space="preserve">Reliability and Limitations:</w:t>
      </w:r>
    </w:p>
    <w:p>
      <w:pPr>
        <w:numPr>
          <w:ilvl w:val="0"/>
          <w:numId w:val="1017"/>
        </w:numPr>
        <w:pStyle w:val="Compact"/>
      </w:pPr>
      <w:r>
        <w:t xml:space="preserve">**Secondary Data Reliance:** This analysis heavily relies on secondary (average) emission factors from databases like LWG, DEFRA, Climatiq, and other published studies. While these are industry standards, actual emissions could vary based on specific supplier data, specific processing technologies, and regional energy mixes.</w:t>
      </w:r>
    </w:p>
    <w:p>
      <w:pPr>
        <w:numPr>
          <w:ilvl w:val="0"/>
          <w:numId w:val="1017"/>
        </w:numPr>
        <w:pStyle w:val="Compact"/>
      </w:pPr>
      <w:r>
        <w:t xml:space="preserve">**Assumed Quantities:** The material and energy quantities per wallet are expert estimates. Real-world variations in product design, manufacturing efficiency, and waste rates will affect the actual footprint.</w:t>
      </w:r>
    </w:p>
    <w:p>
      <w:pPr>
        <w:numPr>
          <w:ilvl w:val="0"/>
          <w:numId w:val="1017"/>
        </w:numPr>
        <w:pStyle w:val="Compact"/>
      </w:pPr>
      <w:r>
        <w:t xml:space="preserve">**Geographic Specificity:** While efforts were made to use European or Netherlands-specific data, some emission factors might be global averages or from other regions due to data availability.</w:t>
      </w:r>
    </w:p>
    <w:p>
      <w:pPr>
        <w:numPr>
          <w:ilvl w:val="0"/>
          <w:numId w:val="1017"/>
        </w:numPr>
        <w:pStyle w:val="Compact"/>
      </w:pPr>
      <w:r>
        <w:t xml:space="preserve">**LSR Standard Application:** The LSR Standard is still very new (takes effect Jan 1, 2027). While the leather emission factor used incorporates upstream agricultural impacts, a more granular, traceable approach as encouraged by the LSR Standard would require direct engagement with leather suppliers for primary data on land management practices.</w:t>
      </w:r>
    </w:p>
    <w:bookmarkEnd w:id="45"/>
    <w:bookmarkStart w:id="46" w:name="recommendations-for-emissions-reduction"/>
    <w:p>
      <w:pPr>
        <w:pStyle w:val="Heading3"/>
      </w:pPr>
      <w:r>
        <w:t xml:space="preserve">Recommendations for Emissions Reduction:</w:t>
      </w:r>
    </w:p>
    <w:p>
      <w:pPr>
        <w:numPr>
          <w:ilvl w:val="0"/>
          <w:numId w:val="1018"/>
        </w:numPr>
        <w:pStyle w:val="Compact"/>
      </w:pPr>
      <w:r>
        <w:t xml:space="preserve">**Source Lower-Impact Leather:** Investigate suppliers offering leather with demonstrably lower carbon footprints, such as those employing advanced manure management, sustainable grazing practices, or innovative tanning methods. Prioritize suppliers providing primary data on their land-related emissions in line with the LSR Standard.</w:t>
      </w:r>
    </w:p>
    <w:p>
      <w:pPr>
        <w:numPr>
          <w:ilvl w:val="0"/>
          <w:numId w:val="1018"/>
        </w:numPr>
        <w:pStyle w:val="Compact"/>
      </w:pPr>
      <w:r>
        <w:t xml:space="preserve">**Explore Alternative Materials:** While challenging for a \'leather\' wallet, research and consider incorporating certified recycled content (e.g., recycled polyester for lining and thread) or innovative bio-based or synthetic leather alternatives with lower footprints, if they meet quality and durability standards.</w:t>
      </w:r>
    </w:p>
    <w:p>
      <w:pPr>
        <w:numPr>
          <w:ilvl w:val="0"/>
          <w:numId w:val="1018"/>
        </w:numPr>
        <w:pStyle w:val="Compact"/>
      </w:pPr>
      <w:r>
        <w:t xml:space="preserve">**Optimize Manufacturing Efficiency:** Reduce electricity consumption per unit through energy-efficient machinery, lean manufacturing principles, and renewable energy procurement for the manufacturing facility.</w:t>
      </w:r>
    </w:p>
    <w:p>
      <w:pPr>
        <w:numPr>
          <w:ilvl w:val="0"/>
          <w:numId w:val="1018"/>
        </w:numPr>
        <w:pStyle w:val="Compact"/>
      </w:pPr>
      <w:r>
        <w:t xml:space="preserve">**Optimize Logistics:** Work with logistics providers to optimize transportation routes and modes (e.g., shifting from road to rail or sea where feasible for longer distances within Europe) to minimize transportation emissions for raw materials.</w:t>
      </w:r>
    </w:p>
    <w:p>
      <w:pPr>
        <w:numPr>
          <w:ilvl w:val="0"/>
          <w:numId w:val="1018"/>
        </w:numPr>
        <w:pStyle w:val="Compact"/>
      </w:pPr>
      <w:r>
        <w:t xml:space="preserve">**Supplier Engagement:** Engage with key raw material suppliers (especially leather tanneries) to encourage their own GHG emission reductions and improve data transparency.</w:t>
      </w:r>
    </w:p>
    <w:p>
      <w:pPr>
        <w:pStyle w:val="FirstParagraph"/>
      </w:pPr>
      <w:r>
        <w:t xml:space="preserve">This report provides a robust initial assessment of the leather wallet\'s PCF. Continuous monitoring, collection of primary data, and engagement with the supply chain will be essential for further refinement and effective emission reduction strategies.</w:t>
      </w:r>
    </w:p>
    <w:p>
      <w:pPr>
        <w:pStyle w:val="BodyText"/>
      </w:pPr>
      <w:r>
        <w:t xml:space="preserve">Confidential - Internal Use Only | Remko Weingarten, Senior Sustainability Consultant</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Leather Wallet</dc:title>
  <dc:creator/>
  <dc:description>Detailed Product Carbon Footprint (PCF) analysis report for a leather wallet, following GHG Protocol standards and 2026 LSR update. Conducted by Senior Sustainability Consultant Remko Weingarten.</dc:description>
  <dc:language>en</dc:language>
  <cp:keywords/>
  <dcterms:created xsi:type="dcterms:W3CDTF">2026-07-15T14:22:03Z</dcterms:created>
  <dcterms:modified xsi:type="dcterms:W3CDTF">2026-07-15T14:22:03Z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