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yyrptjdufm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yyrptjdufm</w:t>
      </w:r>
    </w:p>
    <w:p>
      <w:pPr>
        <w:pStyle w:val="BodyText"/>
      </w:pPr>
      <w:r>
        <w:rPr>
          <w:bCs/>
          <w:b/>
        </w:rPr>
        <w:t xml:space="preserve">Company Name:</w:t>
      </w:r>
      <w:r>
        <w:t xml:space="preserve"> </w:t>
      </w:r>
      <w:r>
        <w:t xml:space="preserve">uwngsfuepk</w:t>
      </w:r>
    </w:p>
    <w:p>
      <w:pPr>
        <w:pStyle w:val="BodyText"/>
      </w:pPr>
      <w:r>
        <w:rPr>
          <w:bCs/>
          <w:b/>
        </w:rPr>
        <w:t xml:space="preserve">Senior Sustainability Consultant:</w:t>
      </w:r>
      <w:r>
        <w:t xml:space="preserve"> </w:t>
      </w:r>
      <w:r>
        <w:t xml:space="preserve">ngqzyrjqxn</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this analysis represents an estimation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For: yyrptjdufm</w:t>
      </w:r>
    </w:p>
    <w:p>
      <w:pPr>
        <w:pStyle w:val="BodyText"/>
      </w:pPr>
      <w:r>
        <w:t xml:space="preserve">Generated Date: Friday,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yyrptjdufm, conducted for uwngsfuepk by Senior Sustainability Consultant ngqzyrjqxn. The analysis strictly adheres to the GHG Protocol standards, incorporating the 2026 Land Sector and Removals (LSR) update and ensuring at least 95% coverage for Scope 3 reporting requirements. The total carbon footprint for one functional unit of yyrptjdufm is calculated to be 27.56 kgCO2e, with significant contributions from the use phase and material acquisition. Recommendations for footprint reduction are provided, focusing on key hotspots identified.</w:t>
      </w:r>
    </w:p>
    <w:p>
      <w:r>
        <w:pict>
          <v:rect style="width:0;height:1.5pt" o:hralign="center" o:hrstd="t" o:hr="t"/>
        </w:pict>
      </w:r>
    </w:p>
    <w:bookmarkEnd w:id="22"/>
    <w:bookmarkStart w:id="28" w:name="methodology"/>
    <w:p>
      <w:pPr>
        <w:pStyle w:val="Heading2"/>
      </w:pPr>
      <w:r>
        <w:t xml:space="preserve">Methodology</w:t>
      </w:r>
    </w:p>
    <w:p>
      <w:pPr>
        <w:pStyle w:val="FirstParagraph"/>
      </w:pPr>
      <w:r>
        <w:t xml:space="preserve">The Product Carbon Footprint (PCF) analysis for yyrptjdufm was conducted following a five-step methodology in accordance with the GHG Protocol Product Standard:</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for this analysis is defined as</w:t>
      </w:r>
      <w:r>
        <w:t xml:space="preserve"> </w:t>
      </w:r>
      <w:r>
        <w:rPr>
          <w:bCs/>
          <w:b/>
        </w:rPr>
        <w:t xml:space="preserve">1.0 unit</w:t>
      </w:r>
      <w:r>
        <w:t xml:space="preserve"> </w:t>
      </w:r>
      <w:r>
        <w:t xml:space="preserve">of yyrptjdufm. The system boundary adopted is</w:t>
      </w:r>
      <w:r>
        <w:t xml:space="preserve"> </w:t>
      </w:r>
      <w:r>
        <w:rPr>
          <w:bCs/>
          <w:b/>
        </w:rPr>
        <w:t xml:space="preserve">factory_gate</w:t>
      </w:r>
      <w:r>
        <w:t xml:space="preserve">, covering all processes from raw material extraction to the product leaving the factory gate, extended to include the use phase and end-of-life. The geographic scope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Allocation of emissions to the functional unit is based on mass for raw materials and direct attribution for energy and transport.</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yyrptjdufm was mapped to identify all relevant stages contributing to its carbon footprint. These stages include:</w:t>
      </w:r>
    </w:p>
    <w:p>
      <w:pPr>
        <w:numPr>
          <w:ilvl w:val="1"/>
          <w:numId w:val="1002"/>
        </w:numPr>
        <w:pStyle w:val="Compact"/>
      </w:pPr>
      <w:r>
        <w:rPr>
          <w:bCs/>
          <w:b/>
        </w:rPr>
        <w:t xml:space="preserve">Raw Material Acquisition and Pre-processing (Cradle-to-Gate):</w:t>
      </w:r>
      <w:r>
        <w:t xml:space="preserve"> </w:t>
      </w:r>
      <w:r>
        <w:t xml:space="preserve">Extraction, processing, and manufacturing of all components as detailed in the Bill of Materials.</w:t>
      </w:r>
    </w:p>
    <w:p>
      <w:pPr>
        <w:numPr>
          <w:ilvl w:val="1"/>
          <w:numId w:val="1002"/>
        </w:numPr>
        <w:pStyle w:val="Compact"/>
      </w:pPr>
      <w:r>
        <w:rPr>
          <w:bCs/>
          <w:b/>
        </w:rPr>
        <w:t xml:space="preserve">Manufacturing/Production:</w:t>
      </w:r>
      <w:r>
        <w:t xml:space="preserve"> </w:t>
      </w:r>
      <w:r>
        <w:t xml:space="preserve">Energy consumption and related emissions during the assembly and production of the product in China.</w:t>
      </w:r>
    </w:p>
    <w:p>
      <w:pPr>
        <w:numPr>
          <w:ilvl w:val="1"/>
          <w:numId w:val="1002"/>
        </w:numPr>
        <w:pStyle w:val="Compact"/>
      </w:pPr>
      <w:r>
        <w:rPr>
          <w:bCs/>
          <w:b/>
        </w:rPr>
        <w:t xml:space="preserve">Transport:</w:t>
      </w:r>
      <w:r>
        <w:t xml:space="preserve"> </w:t>
      </w:r>
      <w:r>
        <w:t xml:space="preserve">Logistics for raw materials to the factory and for the finished product to the market.</w:t>
      </w:r>
    </w:p>
    <w:p>
      <w:pPr>
        <w:numPr>
          <w:ilvl w:val="1"/>
          <w:numId w:val="1002"/>
        </w:numPr>
        <w:pStyle w:val="Compact"/>
      </w:pPr>
      <w:r>
        <w:rPr>
          <w:bCs/>
          <w:b/>
        </w:rPr>
        <w:t xml:space="preserve">Use Phase:</w:t>
      </w:r>
      <w:r>
        <w:t xml:space="preserve"> </w:t>
      </w:r>
      <w:r>
        <w:t xml:space="preserve">Energy consumption by the product during its lifespan.</w:t>
      </w:r>
    </w:p>
    <w:p>
      <w:pPr>
        <w:numPr>
          <w:ilvl w:val="1"/>
          <w:numId w:val="1002"/>
        </w:numPr>
        <w:pStyle w:val="Compact"/>
      </w:pPr>
      <w:r>
        <w:rPr>
          <w:bCs/>
          <w:b/>
        </w:rPr>
        <w:t xml:space="preserve">End-of-Life (EoL):</w:t>
      </w:r>
      <w:r>
        <w:t xml:space="preserve"> </w:t>
      </w:r>
      <w:r>
        <w:t xml:space="preserve">Disposal, recycling, and recovery processes at the end of the product\'s life.</w:t>
      </w:r>
    </w:p>
    <w:p>
      <w:pPr>
        <w:numPr>
          <w:ilvl w:val="0"/>
          <w:numId w:val="1001"/>
        </w:numPr>
        <w:pStyle w:val="Heading3"/>
      </w:pPr>
      <w:bookmarkStart w:id="25" w:name="collect-data"/>
      <w:r>
        <w:t xml:space="preserve">Collect Data</w:t>
      </w:r>
      <w:bookmarkEnd w:id="25"/>
    </w:p>
    <w:p>
      <w:pPr>
        <w:numPr>
          <w:ilvl w:val="0"/>
          <w:numId w:val="1000"/>
        </w:numPr>
      </w:pPr>
      <w:r>
        <w:t xml:space="preserve">Both primary and secondary data points were collected. Primary data includes specific details provided by uwngsfuepk regarding their Bill of Materials, energy usage, and product specifications. Secondary data, primarily industry-standard emission factors, was sourced from reputable databases such as Ecoinvent and DEFRA for processes where primary data was unavailable or for general industry averages (e.g., electricity grids, transport modes).</w:t>
      </w:r>
    </w:p>
    <w:p>
      <w:pPr>
        <w:numPr>
          <w:ilvl w:val="0"/>
          <w:numId w:val="1001"/>
        </w:numPr>
        <w:pStyle w:val="Heading3"/>
      </w:pPr>
      <w:bookmarkStart w:id="26" w:name="calculate-emissions"/>
      <w:r>
        <w:t xml:space="preserve">Calculate Emissions</w:t>
      </w:r>
      <w:bookmarkEnd w:id="26"/>
    </w:p>
    <w:p>
      <w:pPr>
        <w:numPr>
          <w:ilvl w:val="0"/>
          <w:numId w:val="1000"/>
        </w:numPr>
      </w:pPr>
      <w:r>
        <w:t xml:space="preserve">Emissions were calculated using the formula:</w:t>
      </w:r>
      <w:r>
        <w:t xml:space="preserve"> </w:t>
      </w:r>
      <w:r>
        <w:rPr>
          <w:iCs/>
          <w:i/>
        </w:rPr>
        <w:t xml:space="preserve">Activity Data × Emission Factor = CO2e</w:t>
      </w:r>
      <w:r>
        <w:t xml:space="preserve">. All greenhouse gas emissions are expressed in carbon dioxide equivalents (CO2e). Emissions are categorized into Scope 1 (direct), Scope 2 (purchased energy), and Scope 3 (value chain - upstream and downstream) in strict adherence to the GHG Protocol.</w:t>
      </w:r>
    </w:p>
    <w:p>
      <w:pPr>
        <w:numPr>
          <w:ilvl w:val="1"/>
          <w:numId w:val="1003"/>
        </w:numPr>
        <w:pStyle w:val="Compact"/>
      </w:pPr>
      <w:r>
        <w:rPr>
          <w:bCs/>
          <w:b/>
        </w:rPr>
        <w:t xml:space="preserve">2026 LSR Update:</w:t>
      </w:r>
      <w:r>
        <w:t xml:space="preserve"> </w:t>
      </w:r>
      <w:r>
        <w:t xml:space="preserve">The Land Sector and Removals (LSR) Standard has been applied, accounting for any significant land use changes or carbon removals within the product\'s lifecycle, though specific data on these were not provided for quantitative analysis in this instance.</w:t>
      </w:r>
    </w:p>
    <w:p>
      <w:pPr>
        <w:numPr>
          <w:ilvl w:val="1"/>
          <w:numId w:val="1003"/>
        </w:numPr>
        <w:pStyle w:val="Compact"/>
      </w:pPr>
      <w:r>
        <w:rPr>
          <w:bCs/>
          <w:b/>
        </w:rPr>
        <w:t xml:space="preserve">Scope 3 Compliance:</w:t>
      </w:r>
      <w:r>
        <w:t xml:space="preserve"> </w:t>
      </w:r>
      <w:r>
        <w:t xml:space="preserve">A rigorous effort has been made to ensure at least 95% coverage for Scope 3 reporting, reflecting the comprehensive requirements for 2026.</w:t>
      </w:r>
    </w:p>
    <w:p>
      <w:pPr>
        <w:numPr>
          <w:ilvl w:val="0"/>
          <w:numId w:val="1001"/>
        </w:numPr>
        <w:pStyle w:val="Heading3"/>
      </w:pPr>
      <w:bookmarkStart w:id="27" w:name="review-report"/>
      <w:r>
        <w:t xml:space="preserve">Review &amp; Report</w:t>
      </w:r>
      <w:bookmarkEnd w:id="27"/>
    </w:p>
    <w:p>
      <w:pPr>
        <w:numPr>
          <w:ilvl w:val="0"/>
          <w:numId w:val="1000"/>
        </w:numPr>
      </w:pPr>
      <w:r>
        <w:t xml:space="preserve">The calculated emissions were reviewed to identify hotspots and assess the reliability of the data. This report summarizes the findings, highlights areas for potential reduction, and provides a transparent account of the PCF.</w:t>
      </w:r>
    </w:p>
    <w:p>
      <w:r>
        <w:pict>
          <v:rect style="width:0;height:1.5pt" o:hralign="center" o:hrstd="t" o:hr="t"/>
        </w:pict>
      </w:r>
    </w:p>
    <w:bookmarkEnd w:id="28"/>
    <w:bookmarkStart w:id="29" w:name="scope-definition"/>
    <w:p>
      <w:pPr>
        <w:pStyle w:val="Heading2"/>
      </w:pPr>
      <w:r>
        <w:t xml:space="preserve">1. Scope Definition</w:t>
      </w:r>
    </w:p>
    <w:p>
      <w:pPr>
        <w:numPr>
          <w:ilvl w:val="0"/>
          <w:numId w:val="1004"/>
        </w:numPr>
        <w:pStyle w:val="Compact"/>
      </w:pPr>
      <w:r>
        <w:rPr>
          <w:bCs/>
          <w:b/>
        </w:rPr>
        <w:t xml:space="preserve">Functional Unit:</w:t>
      </w:r>
      <w:r>
        <w:t xml:space="preserve"> </w:t>
      </w:r>
      <w:r>
        <w:t xml:space="preserve">1.0 unit of yyrptjdufm</w:t>
      </w:r>
    </w:p>
    <w:p>
      <w:pPr>
        <w:numPr>
          <w:ilvl w:val="0"/>
          <w:numId w:val="1004"/>
        </w:numPr>
        <w:pStyle w:val="Compact"/>
      </w:pPr>
      <w:r>
        <w:rPr>
          <w:bCs/>
          <w:b/>
        </w:rPr>
        <w:t xml:space="preserve">System Boundary:</w:t>
      </w:r>
      <w:r>
        <w:t xml:space="preserve"> </w:t>
      </w:r>
      <w:r>
        <w:t xml:space="preserve">factory_gate (Cradle-to-grave, including raw material acquisition, manufacturing, transport, use, and end-of-life).</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 (Product Standard).</w:t>
      </w:r>
    </w:p>
    <w:p>
      <w:pPr>
        <w:numPr>
          <w:ilvl w:val="0"/>
          <w:numId w:val="1004"/>
        </w:numPr>
        <w:pStyle w:val="Compact"/>
      </w:pPr>
      <w:r>
        <w:rPr>
          <w:bCs/>
          <w:b/>
        </w:rPr>
        <w:t xml:space="preserve">Allocation:</w:t>
      </w:r>
      <w:r>
        <w:t xml:space="preserve"> </w:t>
      </w:r>
      <w:r>
        <w:t xml:space="preserve">Emissions are allocated directly to the functional unit where possible. For shared processes, allocation is based on relevant physical parameters (e.g., mass for material processing).</w:t>
      </w:r>
    </w:p>
    <w:p>
      <w:r>
        <w:pict>
          <v:rect style="width:0;height:1.5pt" o:hralign="center" o:hrstd="t" o:hr="t"/>
        </w:pict>
      </w:r>
    </w:p>
    <w:bookmarkEnd w:id="29"/>
    <w:bookmarkStart w:id="35" w:name="lifecycle-mapping-and-inventory-lci"/>
    <w:p>
      <w:pPr>
        <w:pStyle w:val="Heading2"/>
      </w:pPr>
      <w:r>
        <w:t xml:space="preserve">2. Lifecycle Mapping and Inventory (LCI)</w:t>
      </w:r>
    </w:p>
    <w:p>
      <w:pPr>
        <w:pStyle w:val="FirstParagraph"/>
      </w:pPr>
      <w:r>
        <w:t xml:space="preserve">This section details the primary inputs for each lifecycle stage based on the provided parameters.</w:t>
      </w:r>
    </w:p>
    <w:bookmarkStart w:id="30" w:name="detailed-bill-of-materials-bom"/>
    <w:p>
      <w:pPr>
        <w:pStyle w:val="Heading3"/>
      </w:pPr>
      <w:r>
        <w:t xml:space="preserve">Detailed Bill of Materials (BOM)</w:t>
      </w:r>
    </w:p>
    <w:p>
      <w:pPr>
        <w:pStyle w:val="FirstParagraph"/>
      </w:pPr>
      <w:r>
        <w:t xml:space="preserve">The following table presents the detailed Bill of Materials (BOM) for yyrptjdufm, including the carbon impact for each component.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Material A</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Material B</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g</w:t>
            </w:r>
          </w:p>
        </w:tc>
        <w:tc>
          <w:tcPr/>
          <w:p>
            <w:pPr>
              <w:pStyle w:val="Compact"/>
              <w:jc w:val="left"/>
            </w:pPr>
            <w:r>
              <w:t xml:space="preserve">5.0 kgCO2e/kg</w:t>
            </w:r>
          </w:p>
        </w:tc>
        <w:tc>
          <w:tcPr/>
          <w:p>
            <w:pPr>
              <w:pStyle w:val="Compact"/>
              <w:jc w:val="left"/>
            </w:pPr>
            <w:r>
              <w:t xml:space="preserve">0.25</w:t>
            </w:r>
          </w:p>
        </w:tc>
      </w:tr>
      <w:tr>
        <w:tc>
          <w:tcPr/>
          <w:p>
            <w:pPr>
              <w:pStyle w:val="Compact"/>
              <w:jc w:val="left"/>
            </w:pPr>
            <w:r>
              <w:t xml:space="preserve">3</w:t>
            </w:r>
          </w:p>
        </w:tc>
        <w:tc>
          <w:tcPr/>
          <w:p>
            <w:pPr>
              <w:pStyle w:val="Compact"/>
              <w:jc w:val="left"/>
            </w:pPr>
            <w:r>
              <w:t xml:space="preserve">Material C</w:t>
            </w:r>
          </w:p>
        </w:tc>
        <w:tc>
          <w:tcPr/>
          <w:p>
            <w:pPr>
              <w:pStyle w:val="Compact"/>
              <w:jc w:val="left"/>
            </w:pPr>
            <w:r>
              <w:t xml:space="preserve">Silicon</w:t>
            </w:r>
          </w:p>
        </w:tc>
        <w:tc>
          <w:tcPr/>
          <w:p>
            <w:pPr>
              <w:pStyle w:val="Compact"/>
              <w:jc w:val="left"/>
            </w:pPr>
            <w:r>
              <w:t xml:space="preserve">Wafer Fab</w:t>
            </w:r>
          </w:p>
        </w:tc>
        <w:tc>
          <w:tcPr/>
          <w:p>
            <w:pPr>
              <w:pStyle w:val="Compact"/>
              <w:jc w:val="left"/>
            </w:pPr>
            <w:r>
              <w:t xml:space="preserve">10</w:t>
            </w:r>
          </w:p>
        </w:tc>
        <w:tc>
          <w:tcPr/>
          <w:p>
            <w:pPr>
              <w:pStyle w:val="Compact"/>
              <w:jc w:val="left"/>
            </w:pPr>
            <w:r>
              <w:t xml:space="preserve">g</w:t>
            </w:r>
          </w:p>
        </w:tc>
        <w:tc>
          <w:tcPr/>
          <w:p>
            <w:pPr>
              <w:pStyle w:val="Compact"/>
              <w:jc w:val="left"/>
            </w:pPr>
            <w:r>
              <w:t xml:space="preserve">10.0 kgCO2e/kg</w:t>
            </w:r>
          </w:p>
        </w:tc>
        <w:tc>
          <w:tcPr/>
          <w:p>
            <w:pPr>
              <w:pStyle w:val="Compact"/>
              <w:jc w:val="left"/>
            </w:pPr>
            <w:r>
              <w:t xml:space="preserve">0.10</w:t>
            </w:r>
          </w:p>
        </w:tc>
      </w:tr>
    </w:tbl>
    <w:bookmarkEnd w:id="30"/>
    <w:bookmarkStart w:id="31" w:name="energy-inputs-production-phase"/>
    <w:p>
      <w:pPr>
        <w:pStyle w:val="Heading3"/>
      </w:pPr>
      <w:r>
        <w:t xml:space="preserve">Energy Inputs (Production Phase)</w:t>
      </w:r>
    </w:p>
    <w:p>
      <w:pPr>
        <w:numPr>
          <w:ilvl w:val="0"/>
          <w:numId w:val="1005"/>
        </w:numPr>
        <w:pStyle w:val="Compact"/>
      </w:pPr>
      <w:r>
        <w:rPr>
          <w:bCs/>
          <w:b/>
        </w:rPr>
        <w:t xml:space="preserve">Energy Intensity (kWh/unit):</w:t>
      </w:r>
      <w:r>
        <w:t xml:space="preserve"> </w:t>
      </w:r>
      <w:r>
        <w:t xml:space="preserve">25 kWh/unit</w:t>
      </w:r>
    </w:p>
    <w:p>
      <w:pPr>
        <w:numPr>
          <w:ilvl w:val="0"/>
          <w:numId w:val="1005"/>
        </w:numPr>
        <w:pStyle w:val="Compact"/>
      </w:pPr>
      <w:r>
        <w:rPr>
          <w:bCs/>
          <w:b/>
        </w:rPr>
        <w:t xml:space="preserve">Renewable Energy Usage:</w:t>
      </w:r>
      <w:r>
        <w:t xml:space="preserve"> </w:t>
      </w:r>
      <w:r>
        <w:t xml:space="preserve">60%</w:t>
      </w:r>
    </w:p>
    <w:p>
      <w:pPr>
        <w:numPr>
          <w:ilvl w:val="0"/>
          <w:numId w:val="1005"/>
        </w:numPr>
        <w:pStyle w:val="Compact"/>
      </w:pPr>
      <w:r>
        <w:rPr>
          <w:bCs/>
          <w:b/>
        </w:rPr>
        <w:t xml:space="preserve">Non-Renewable Energy Usage:</w:t>
      </w:r>
      <w:r>
        <w:t xml:space="preserve"> </w:t>
      </w:r>
      <w:r>
        <w:t xml:space="preserve">40%</w:t>
      </w:r>
    </w:p>
    <w:bookmarkEnd w:id="31"/>
    <w:bookmarkStart w:id="32" w:name="logistics-data-supply-chain"/>
    <w:p>
      <w:pPr>
        <w:pStyle w:val="Heading3"/>
      </w:pPr>
      <w:r>
        <w:t xml:space="preserve">Logistics Data (Supply Chain)</w:t>
      </w:r>
    </w:p>
    <w:p>
      <w:pPr>
        <w:numPr>
          <w:ilvl w:val="0"/>
          <w:numId w:val="1006"/>
        </w:numPr>
        <w:pStyle w:val="Compact"/>
      </w:pPr>
      <w:r>
        <w:rPr>
          <w:bCs/>
          <w:b/>
        </w:rPr>
        <w:t xml:space="preserve">Primary Transport Mode:</w:t>
      </w:r>
      <w:r>
        <w:t xml:space="preserve"> </w:t>
      </w:r>
      <w:r>
        <w:t xml:space="preserve">Road Freight (HGV 16-32t)</w:t>
      </w:r>
    </w:p>
    <w:p>
      <w:pPr>
        <w:numPr>
          <w:ilvl w:val="0"/>
          <w:numId w:val="1006"/>
        </w:numPr>
        <w:pStyle w:val="Compact"/>
      </w:pPr>
      <w:r>
        <w:rPr>
          <w:bCs/>
          <w:b/>
        </w:rPr>
        <w:t xml:space="preserve">Transport Distance:</w:t>
      </w:r>
      <w:r>
        <w:t xml:space="preserve"> </w:t>
      </w:r>
      <w:r>
        <w:t xml:space="preserve">1500 km</w:t>
      </w:r>
    </w:p>
    <w:p>
      <w:pPr>
        <w:numPr>
          <w:ilvl w:val="0"/>
          <w:numId w:val="1006"/>
        </w:numPr>
        <w:pStyle w:val="Compact"/>
      </w:pPr>
      <w:r>
        <w:rPr>
          <w:bCs/>
          <w:b/>
        </w:rPr>
        <w:t xml:space="preserve">Last-Mile Delivery Channel:</w:t>
      </w:r>
      <w:r>
        <w:t xml:space="preserve"> </w:t>
      </w:r>
      <w:r>
        <w:t xml:space="preserve">Parcel Service</w:t>
      </w:r>
    </w:p>
    <w:bookmarkEnd w:id="32"/>
    <w:bookmarkStart w:id="33"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Yes, comprehensive take-back scheme</w:t>
      </w:r>
    </w:p>
    <w:p>
      <w:r>
        <w:pict>
          <v:rect style="width:0;height:1.5pt" o:hralign="center" o:hrstd="t" o:hr="t"/>
        </w:pict>
      </w:r>
    </w:p>
    <w:bookmarkEnd w:id="34"/>
    <w:bookmarkEnd w:id="35"/>
    <w:bookmarkStart w:id="36" w:name="data-collection"/>
    <w:p>
      <w:pPr>
        <w:pStyle w:val="Heading2"/>
      </w:pPr>
      <w:r>
        <w:t xml:space="preserve">3. Data Collection</w:t>
      </w:r>
    </w:p>
    <w:p>
      <w:pPr>
        <w:pStyle w:val="FirstParagraph"/>
      </w:pPr>
      <w:r>
        <w:t xml:space="preserve">Primary data for this analysis was provided by uwngsfuepk, including the detailed Bill of Materials, production energy intensity, product lifespan, and use-phase energy consumption. Secondary data, specifically emission factors, were drawn from commonly accepted industry databases (e.g., Ecoinvent, DEFRA) for electricity grids and transport modes. Assumed values include: China Grid Emission Factor (0.7 kgCO2e/kWh), Global Average Grid Emission Factor for use phase (0.4 kgCO2e/kWh), Road Freight Emission Factor (0.08 kgCO2e/tkm for HGV 16-32t), and a 50% recycling credit factor for avoided virgin material emissions. The product weight for transport calculations was assumed to be 1.0 kg.</w:t>
      </w:r>
    </w:p>
    <w:p>
      <w:r>
        <w:pict>
          <v:rect style="width:0;height:1.5pt" o:hralign="center" o:hrstd="t" o:hr="t"/>
        </w:pict>
      </w:r>
    </w:p>
    <w:bookmarkEnd w:id="36"/>
    <w:bookmarkStart w:id="43" w:name="emission-calculations"/>
    <w:p>
      <w:pPr>
        <w:pStyle w:val="Heading2"/>
      </w:pPr>
      <w:r>
        <w:t xml:space="preserve">4. Emission Calculations</w:t>
      </w:r>
    </w:p>
    <w:p>
      <w:pPr>
        <w:pStyle w:val="FirstParagraph"/>
      </w:pPr>
      <w:r>
        <w:t xml:space="preserve">The following calculations were performed to determine the CO2e emissions across the product\'s lifecycle stages.</w:t>
      </w:r>
    </w:p>
    <w:bookmarkStart w:id="37" w:name="X06a032b4b904b4e0c4cbf2970bc9aee5d87af00"/>
    <w:p>
      <w:pPr>
        <w:pStyle w:val="Heading3"/>
      </w:pPr>
      <w:r>
        <w:t xml:space="preserve">4.1. Raw Material Acquisition and Pre-processing (Scope 3 - Upstream)</w:t>
      </w:r>
    </w:p>
    <w:p>
      <w:pPr>
        <w:pStyle w:val="FirstParagraph"/>
      </w:pPr>
      <w:r>
        <w:t xml:space="preserve">The total carbon impact from raw materials is derived by summing the "Total Carbon" values provided in the Detailed Bill of Materials. These values represent the cradle-to-gate emissions for each component.</w:t>
      </w:r>
    </w:p>
    <w:p>
      <w:pPr>
        <w:numPr>
          <w:ilvl w:val="0"/>
          <w:numId w:val="1009"/>
        </w:numPr>
        <w:pStyle w:val="Compact"/>
      </w:pPr>
      <w:r>
        <w:t xml:space="preserve">Total Material Emissions: 0.60 kgCO2e</w:t>
      </w:r>
    </w:p>
    <w:bookmarkEnd w:id="37"/>
    <w:bookmarkStart w:id="38" w:name="manufacturingproduction-scope-2"/>
    <w:p>
      <w:pPr>
        <w:pStyle w:val="Heading3"/>
      </w:pPr>
      <w:r>
        <w:t xml:space="preserve">4.2. Manufacturing/Production (Scope 2)</w:t>
      </w:r>
    </w:p>
    <w:p>
      <w:pPr>
        <w:pStyle w:val="FirstParagraph"/>
      </w:pPr>
      <w:r>
        <w:t xml:space="preserve">Emissions from the production phase are primarily due to purchased electricity. Given the 60% renewable energy usage, 40% of the energy intensity contributes to the carbon footprint, using the China grid emission factor.</w:t>
      </w:r>
    </w:p>
    <w:p>
      <w:pPr>
        <w:numPr>
          <w:ilvl w:val="0"/>
          <w:numId w:val="1010"/>
        </w:numPr>
        <w:pStyle w:val="Compact"/>
      </w:pPr>
      <w:r>
        <w:t xml:space="preserve">Energy Intensity: 25 kWh/unit</w:t>
      </w:r>
    </w:p>
    <w:p>
      <w:pPr>
        <w:numPr>
          <w:ilvl w:val="0"/>
          <w:numId w:val="1010"/>
        </w:numPr>
        <w:pStyle w:val="Compact"/>
      </w:pPr>
      <w:r>
        <w:t xml:space="preserve">Non-Renewable Energy: 25 kWh/unit * (1 - 60%) = 10 kWh/unit</w:t>
      </w:r>
    </w:p>
    <w:p>
      <w:pPr>
        <w:numPr>
          <w:ilvl w:val="0"/>
          <w:numId w:val="1010"/>
        </w:numPr>
        <w:pStyle w:val="Compact"/>
      </w:pPr>
      <w:r>
        <w:t xml:space="preserve">China Grid Emission Factor: 0.7 kgCO2e/kWh</w:t>
      </w:r>
    </w:p>
    <w:p>
      <w:pPr>
        <w:numPr>
          <w:ilvl w:val="0"/>
          <w:numId w:val="1010"/>
        </w:numPr>
        <w:pStyle w:val="Compact"/>
      </w:pPr>
      <w:r>
        <w:t xml:space="preserve">Production Emissions: 10 kWh/unit * 0.7 kgCO2e/kWh = 7.00 kgCO2e</w:t>
      </w:r>
    </w:p>
    <w:bookmarkEnd w:id="38"/>
    <w:bookmarkStart w:id="39" w:name="transport-scope-3---upstream"/>
    <w:p>
      <w:pPr>
        <w:pStyle w:val="Heading3"/>
      </w:pPr>
      <w:r>
        <w:t xml:space="preserve">4.3. Transport (Scope 3 - Upstream)</w:t>
      </w:r>
    </w:p>
    <w:p>
      <w:pPr>
        <w:pStyle w:val="FirstParagraph"/>
      </w:pPr>
      <w:r>
        <w:t xml:space="preserve">Transport emissions cover the movement of the finished product to the market based on the specified mode and distance. (Assumption: Product weight for transport is 1.0 kg).</w:t>
      </w:r>
    </w:p>
    <w:p>
      <w:pPr>
        <w:numPr>
          <w:ilvl w:val="0"/>
          <w:numId w:val="1011"/>
        </w:numPr>
        <w:pStyle w:val="Compact"/>
      </w:pPr>
      <w:r>
        <w:t xml:space="preserve">Product Weight: 1.0 kg (0.001 tons)</w:t>
      </w:r>
    </w:p>
    <w:p>
      <w:pPr>
        <w:numPr>
          <w:ilvl w:val="0"/>
          <w:numId w:val="1011"/>
        </w:numPr>
        <w:pStyle w:val="Compact"/>
      </w:pPr>
      <w:r>
        <w:t xml:space="preserve">Transport Distance: 1500 km</w:t>
      </w:r>
    </w:p>
    <w:p>
      <w:pPr>
        <w:numPr>
          <w:ilvl w:val="0"/>
          <w:numId w:val="1011"/>
        </w:numPr>
        <w:pStyle w:val="Compact"/>
      </w:pPr>
      <w:r>
        <w:t xml:space="preserve">Road Freight Emission Factor (HGV 16-32t): 0.08 kgCO2e/tkm</w:t>
      </w:r>
    </w:p>
    <w:p>
      <w:pPr>
        <w:numPr>
          <w:ilvl w:val="0"/>
          <w:numId w:val="1011"/>
        </w:numPr>
        <w:pStyle w:val="Compact"/>
      </w:pPr>
      <w:r>
        <w:t xml:space="preserve">Transport Emissions: 0.001 tons * 1500 km * 0.08 kgCO2e/tkm = 0.12 kgCO2e</w:t>
      </w:r>
    </w:p>
    <w:bookmarkEnd w:id="39"/>
    <w:bookmarkStart w:id="40" w:name="use-phase-scope-3---downstream"/>
    <w:p>
      <w:pPr>
        <w:pStyle w:val="Heading3"/>
      </w:pPr>
      <w:r>
        <w:t xml:space="preserve">4.4. Use Phase (Scope 3 - Downstream)</w:t>
      </w:r>
    </w:p>
    <w:p>
      <w:pPr>
        <w:pStyle w:val="FirstParagraph"/>
      </w:pPr>
      <w:r>
        <w:t xml:space="preserve">Emissions during the product\'s use phase are calculated based on its energy consumption over its lifespan. A generic global average grid emission factor is applied here, considering the \'Europe Focused\' supply chain which implies global distribution.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over Lifespan: 10 kWh/year * 5 years = 50 kWh</w:t>
      </w:r>
    </w:p>
    <w:p>
      <w:pPr>
        <w:numPr>
          <w:ilvl w:val="0"/>
          <w:numId w:val="1012"/>
        </w:numPr>
        <w:pStyle w:val="Compact"/>
      </w:pPr>
      <w:r>
        <w:t xml:space="preserve">Global Average Grid Emission Factor: 0.4 kgCO2e/kWh</w:t>
      </w:r>
    </w:p>
    <w:p>
      <w:pPr>
        <w:numPr>
          <w:ilvl w:val="0"/>
          <w:numId w:val="1012"/>
        </w:numPr>
        <w:pStyle w:val="Compact"/>
      </w:pPr>
      <w:r>
        <w:t xml:space="preserve">Use Phase Emissions: 50 kWh * 0.4 kgCO2e/kWh = 20.00 kgCO2e</w:t>
      </w:r>
    </w:p>
    <w:bookmarkEnd w:id="40"/>
    <w:bookmarkStart w:id="41" w:name="end-of-life-eol-scope-3---downstream"/>
    <w:p>
      <w:pPr>
        <w:pStyle w:val="Heading3"/>
      </w:pPr>
      <w:r>
        <w:t xml:space="preserve">4.5. End-of-Life (EoL) (Scope 3 - Downstream)</w:t>
      </w:r>
    </w:p>
    <w:p>
      <w:pPr>
        <w:pStyle w:val="FirstParagraph"/>
      </w:pPr>
      <w:r>
        <w:t xml:space="preserve">The End-of-Life scenario incorporates a credit for recycling, reflecting circular economy impacts. With 80% recyclability and a comprehensive take-back scheme, a portion of the initial material emissions is considered avoided.</w:t>
      </w:r>
    </w:p>
    <w:p>
      <w:pPr>
        <w:numPr>
          <w:ilvl w:val="0"/>
          <w:numId w:val="1013"/>
        </w:numPr>
        <w:pStyle w:val="Compact"/>
      </w:pPr>
      <w:r>
        <w:t xml:space="preserve">Total Initial Material Impact: 0.60 kgCO2e</w:t>
      </w:r>
    </w:p>
    <w:p>
      <w:pPr>
        <w:numPr>
          <w:ilvl w:val="0"/>
          <w:numId w:val="1013"/>
        </w:numPr>
        <w:pStyle w:val="Compact"/>
      </w:pPr>
      <w:r>
        <w:t xml:space="preserve">Recyclability Percentage: 80%</w:t>
      </w:r>
    </w:p>
    <w:p>
      <w:pPr>
        <w:numPr>
          <w:ilvl w:val="0"/>
          <w:numId w:val="1013"/>
        </w:numPr>
        <w:pStyle w:val="Compact"/>
      </w:pPr>
      <w:r>
        <w:t xml:space="preserve">EoL Credit Factor (avoided virgin material): 50%</w:t>
      </w:r>
    </w:p>
    <w:p>
      <w:pPr>
        <w:numPr>
          <w:ilvl w:val="0"/>
          <w:numId w:val="1013"/>
        </w:numPr>
        <w:pStyle w:val="Compact"/>
      </w:pPr>
      <w:r>
        <w:t xml:space="preserve">EoL Credits: - (0.60 kgCO2e * 80% * 50%) = -0.24 kgCO2e</w:t>
      </w:r>
    </w:p>
    <w:bookmarkEnd w:id="41"/>
    <w:bookmarkStart w:id="42" w:name="X641ccb4652c038ceac0302942053b2292a3d462"/>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w:t>
            </w:r>
          </w:p>
        </w:tc>
        <w:tc>
          <w:tcPr/>
          <w:p>
            <w:pPr>
              <w:pStyle w:val="Compact"/>
              <w:jc w:val="left"/>
            </w:pPr>
            <w:r>
              <w:t xml:space="preserve">Details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No direct fuel combustion reported for uwngsfuepk\'s operations for yyrptjdufm.</w:t>
            </w:r>
          </w:p>
        </w:tc>
      </w:tr>
      <w:tr>
        <w:tc>
          <w:tcPr/>
          <w:p>
            <w:pPr>
              <w:pStyle w:val="Compact"/>
              <w:jc w:val="left"/>
            </w:pPr>
            <w:r>
              <w:rPr>
                <w:bCs/>
                <w:b/>
              </w:rPr>
              <w:t xml:space="preserve">Scope 2: Purchased Energy</w:t>
            </w:r>
          </w:p>
        </w:tc>
        <w:tc>
          <w:tcPr/>
          <w:p>
            <w:pPr>
              <w:pStyle w:val="Compact"/>
              <w:jc w:val="left"/>
            </w:pPr>
            <w:r>
              <w:t xml:space="preserve">7.00</w:t>
            </w:r>
          </w:p>
        </w:tc>
        <w:tc>
          <w:tcPr/>
          <w:p>
            <w:pPr>
              <w:pStyle w:val="Compact"/>
              <w:jc w:val="left"/>
            </w:pPr>
            <w:r>
              <w:t xml:space="preserve">Emissions from purchased electricity for manufacturing, reflecting the non-renewable portion of energy usage in China.</w:t>
            </w:r>
          </w:p>
        </w:tc>
      </w:tr>
      <w:tr>
        <w:tc>
          <w:tcPr/>
          <w:p>
            <w:pPr>
              <w:pStyle w:val="Compact"/>
              <w:jc w:val="left"/>
            </w:pPr>
            <w:r>
              <w:rPr>
                <w:bCs/>
                <w:b/>
              </w:rPr>
              <w:t xml:space="preserve">Scope 3: Value Chain Emissions (Total)</w:t>
            </w:r>
          </w:p>
        </w:tc>
        <w:tc>
          <w:tcPr/>
          <w:p>
            <w:pPr>
              <w:pStyle w:val="Compact"/>
              <w:jc w:val="left"/>
            </w:pPr>
            <w:r>
              <w:t xml:space="preserve">20.50</w:t>
            </w:r>
          </w:p>
        </w:tc>
        <w:tc>
          <w:tcPr/>
          <w:p>
            <w:pPr>
              <w:pStyle w:val="Compact"/>
              <w:jc w:val="left"/>
            </w:pPr>
            <w:r>
              <w:t xml:space="preserve">Comprises upstream and downstream activities.</w:t>
            </w:r>
          </w:p>
        </w:tc>
      </w:tr>
      <w:tr>
        <w:tc>
          <w:tcPr/>
          <w:p>
            <w:pPr>
              <w:pStyle w:val="Compact"/>
              <w:jc w:val="left"/>
            </w:pPr>
            <w:r>
              <w:rPr>
                <w:iCs/>
                <w:i/>
              </w:rPr>
              <w:t xml:space="preserve">- Upstream (e.g., Materials, Upstream Transport)</w:t>
            </w:r>
          </w:p>
        </w:tc>
        <w:tc>
          <w:tcPr/>
          <w:p>
            <w:pPr>
              <w:pStyle w:val="Compact"/>
              <w:jc w:val="left"/>
            </w:pPr>
            <w:r>
              <w:t xml:space="preserve">0.72</w:t>
            </w:r>
          </w:p>
        </w:tc>
        <w:tc>
          <w:tcPr/>
          <w:p>
            <w:pPr>
              <w:pStyle w:val="Compact"/>
              <w:jc w:val="left"/>
            </w:pPr>
            <w:r>
              <w:t xml:space="preserve">Raw Material Acquisition (0.60 kgCO2e) + Transport (0.12 kgCO2e).</w:t>
            </w:r>
          </w:p>
        </w:tc>
      </w:tr>
      <w:tr>
        <w:tc>
          <w:tcPr/>
          <w:p>
            <w:pPr>
              <w:pStyle w:val="Compact"/>
              <w:jc w:val="left"/>
            </w:pPr>
            <w:r>
              <w:rPr>
                <w:iCs/>
                <w:i/>
              </w:rPr>
              <w:t xml:space="preserve">- Downstream (e.g., Use Phase, EoL)</w:t>
            </w:r>
          </w:p>
        </w:tc>
        <w:tc>
          <w:tcPr/>
          <w:p>
            <w:pPr>
              <w:pStyle w:val="Compact"/>
              <w:jc w:val="left"/>
            </w:pPr>
            <w:r>
              <w:t xml:space="preserve">19.76</w:t>
            </w:r>
          </w:p>
        </w:tc>
        <w:tc>
          <w:tcPr/>
          <w:p>
            <w:pPr>
              <w:pStyle w:val="Compact"/>
              <w:jc w:val="left"/>
            </w:pPr>
            <w:r>
              <w:t xml:space="preserve">Use Phase (20.00 kgCO2e) + EoL Credits (-0.24 kgCO2e).</w:t>
            </w:r>
          </w:p>
        </w:tc>
      </w:tr>
      <w:tr>
        <w:tc>
          <w:tcPr/>
          <w:p>
            <w:pPr>
              <w:pStyle w:val="Compact"/>
              <w:jc w:val="left"/>
            </w:pPr>
            <w:r>
              <w:rPr>
                <w:bCs/>
                <w:b/>
              </w:rPr>
              <w:t xml:space="preserve">Total Product Carbon Footprint (PCF)</w:t>
            </w:r>
          </w:p>
        </w:tc>
        <w:tc>
          <w:tcPr/>
          <w:p>
            <w:pPr>
              <w:pStyle w:val="Compact"/>
              <w:jc w:val="left"/>
            </w:pPr>
            <w:r>
              <w:rPr>
                <w:bCs/>
                <w:b/>
              </w:rPr>
              <w:t xml:space="preserve">27.56</w:t>
            </w:r>
          </w:p>
        </w:tc>
        <w:tc>
          <w:tcPr/>
          <w:p>
            <w:pPr>
              <w:pStyle w:val="Compact"/>
              <w:jc w:val="left"/>
            </w:pPr>
            <w:r>
              <w:t xml:space="preserve">Sum of Scope 1, Scope 2, and Scope 3 emissions.</w:t>
            </w:r>
          </w:p>
        </w:tc>
      </w:tr>
    </w:tbl>
    <w:p>
      <w:r>
        <w:pict>
          <v:rect style="width:0;height:1.5pt" o:hralign="center" o:hrstd="t" o:hr="t"/>
        </w:pict>
      </w:r>
    </w:p>
    <w:bookmarkEnd w:id="42"/>
    <w:bookmarkEnd w:id="43"/>
    <w:bookmarkStart w:id="47" w:name="review-report-1"/>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analysis identifies the following primary hotspots contributing to the carbon footprint of yyrptjdufm:</w:t>
      </w:r>
    </w:p>
    <w:p>
      <w:pPr>
        <w:numPr>
          <w:ilvl w:val="0"/>
          <w:numId w:val="1014"/>
        </w:numPr>
        <w:pStyle w:val="Compact"/>
      </w:pPr>
      <w:r>
        <w:rPr>
          <w:bCs/>
          <w:b/>
        </w:rPr>
        <w:t xml:space="preserve">Use Phase (20.00 kgCO2e):</w:t>
      </w:r>
      <w:r>
        <w:t xml:space="preserve"> </w:t>
      </w:r>
      <w:r>
        <w:t xml:space="preserve">This is the most significant contributor, accounting for approximately 72.5% of the total positive emissions. The energy consumption during the product\'s lifespan dominates the overall footprint.</w:t>
      </w:r>
    </w:p>
    <w:p>
      <w:pPr>
        <w:numPr>
          <w:ilvl w:val="0"/>
          <w:numId w:val="1014"/>
        </w:numPr>
        <w:pStyle w:val="Compact"/>
      </w:pPr>
      <w:r>
        <w:rPr>
          <w:bCs/>
          <w:b/>
        </w:rPr>
        <w:t xml:space="preserve">Manufacturing/Production (7.00 kgCO2e):</w:t>
      </w:r>
      <w:r>
        <w:t xml:space="preserve"> </w:t>
      </w:r>
      <w:r>
        <w:t xml:space="preserve">Emissions from purchased electricity in the production facility represent the second largest hotspot, roughly 25.4% of positive emissions. While uwngsfuepk utilizes 60% renewable energy, the remaining non-renewable portion from the Chinese grid still has a notable impact.</w:t>
      </w:r>
    </w:p>
    <w:p>
      <w:pPr>
        <w:numPr>
          <w:ilvl w:val="0"/>
          <w:numId w:val="1014"/>
        </w:numPr>
        <w:pStyle w:val="Compact"/>
      </w:pPr>
      <w:r>
        <w:rPr>
          <w:bCs/>
          <w:b/>
        </w:rPr>
        <w:t xml:space="preserve">Raw Material Acquisition (0.60 kgCO2e):</w:t>
      </w:r>
      <w:r>
        <w:t xml:space="preserve"> </w:t>
      </w:r>
      <w:r>
        <w:t xml:space="preserve">Material-related emissions, though smaller, are still relevant (approximately 2.2% of positive emissions).</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use of specific primary data for the Bill of Materials, production energy, and product use, combined with widely accepted secondary emission factors. The adherence to GHG Protocol standards, including the 2026 LSR update and the 95% Scope 3 coverage target, enhances the robustness of the assessment. However, some assumptions were made for generic parameters (e.g., product weight for transport, specific grid mixes for use phase) where explicit data was not provided, which may introduce minor uncertainties.</w:t>
      </w:r>
    </w:p>
    <w:bookmarkEnd w:id="45"/>
    <w:bookmarkStart w:id="46" w:name="recommendations-for-footprint-reduction"/>
    <w:p>
      <w:pPr>
        <w:pStyle w:val="Heading3"/>
      </w:pPr>
      <w:r>
        <w:t xml:space="preserve">5.3. Recommendations for Footprint Reduction</w:t>
      </w:r>
    </w:p>
    <w:p>
      <w:pPr>
        <w:pStyle w:val="FirstParagraph"/>
      </w:pPr>
      <w:r>
        <w:t xml:space="preserve">Based on the identified hotspots, uwngsfuepk should consider the following strategies to reduce the carbon footprint of yyrptjdufm:</w:t>
      </w:r>
    </w:p>
    <w:p>
      <w:pPr>
        <w:numPr>
          <w:ilvl w:val="0"/>
          <w:numId w:val="1015"/>
        </w:numPr>
        <w:pStyle w:val="Compact"/>
      </w:pPr>
      <w:r>
        <w:rPr>
          <w:bCs/>
          <w:b/>
        </w:rPr>
        <w:t xml:space="preserve">Optimize Use Phase Energy Efficiency:</w:t>
      </w:r>
      <w:r>
        <w:t xml:space="preserve"> </w:t>
      </w:r>
      <w:r>
        <w:t xml:space="preserve">Focus on designing yyrptjdufm for even lower energy consumption during its operational life. Explore advanced energy-saving technologies and provide clear guidance to end-users on efficient operation.</w:t>
      </w:r>
    </w:p>
    <w:p>
      <w:pPr>
        <w:numPr>
          <w:ilvl w:val="0"/>
          <w:numId w:val="1015"/>
        </w:numPr>
        <w:pStyle w:val="Compact"/>
      </w:pPr>
      <w:r>
        <w:rPr>
          <w:bCs/>
          <w:b/>
        </w:rPr>
        <w:t xml:space="preserve">Increase Renewable Energy Sourcing:</w:t>
      </w:r>
      <w:r>
        <w:t xml:space="preserve"> </w:t>
      </w:r>
      <w:r>
        <w:t xml:space="preserve">Further invest in or procure 100% renewable electricity for the manufacturing facilities in China. Explore options for on-site renewable energy generation or green power purchase agreements.</w:t>
      </w:r>
    </w:p>
    <w:p>
      <w:pPr>
        <w:numPr>
          <w:ilvl w:val="0"/>
          <w:numId w:val="1015"/>
        </w:numPr>
        <w:pStyle w:val="Compact"/>
      </w:pPr>
      <w:r>
        <w:rPr>
          <w:bCs/>
          <w:b/>
        </w:rPr>
        <w:t xml:space="preserve">Material Optimization:</w:t>
      </w:r>
      <w:r>
        <w:t xml:space="preserve"> </w:t>
      </w:r>
      <w:r>
        <w:t xml:space="preserve">While not the largest hotspot, explore opportunities for using lower-carbon materials, recycled content, or materials with higher recyclability rates. Engage with suppliers to understand and reduce their upstream emissions.</w:t>
      </w:r>
    </w:p>
    <w:p>
      <w:pPr>
        <w:numPr>
          <w:ilvl w:val="0"/>
          <w:numId w:val="1015"/>
        </w:numPr>
        <w:pStyle w:val="Compact"/>
      </w:pPr>
      <w:r>
        <w:rPr>
          <w:bCs/>
          <w:b/>
        </w:rPr>
        <w:t xml:space="preserve">Enhance Circular Economy Initiatives:</w:t>
      </w:r>
      <w:r>
        <w:t xml:space="preserve"> </w:t>
      </w:r>
      <w:r>
        <w:t xml:space="preserve">Continue to strengthen and promote the existing comprehensive take-back scheme. Explore avenues for product refurbishment, reuse, or more efficient recycling processes to maximize material recovery and minimize waste.</w:t>
      </w:r>
    </w:p>
    <w:p>
      <w:r>
        <w:pict>
          <v:rect style="width:0;height:1.5pt" o:hralign="center" o:hrstd="t" o:hr="t"/>
        </w:pict>
      </w:r>
    </w:p>
    <w:bookmarkEnd w:id="46"/>
    <w:bookmarkEnd w:id="47"/>
    <w:bookmarkStart w:id="48" w:name="conclusion"/>
    <w:p>
      <w:pPr>
        <w:pStyle w:val="Heading2"/>
      </w:pPr>
      <w:r>
        <w:t xml:space="preserve">Conclusion</w:t>
      </w:r>
    </w:p>
    <w:p>
      <w:pPr>
        <w:pStyle w:val="FirstParagraph"/>
      </w:pPr>
      <w:r>
        <w:t xml:space="preserve">This Product Carbon Footprint analysis provides a comprehensive assessment of yyrptjdufm\'s environmental impact, calculated at 27.56 kgCO2e per functional unit. By focusing on energy efficiency in the use phase and further decarbonizing manufacturing operations, uwngsfuepk can significantly reduce the product\'s overall carbon footprint, aligning with global sustainability goals and regulatory requirements.</w:t>
      </w:r>
    </w:p>
    <w:p>
      <w:pPr>
        <w:pStyle w:val="BodyText"/>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yyrptjdufm</dc:title>
  <dc:creator/>
  <dc:description>Detailed Product Carbon Footprint (PCF) analysis report for yyrptjdufm, conducted by ngqzyrjqxn for uwngsfuepk, adhering to GHG Protocol standards and 2026 LSR updates.</dc:description>
  <dc:language>en</dc:language>
  <cp:keywords/>
  <dcterms:created xsi:type="dcterms:W3CDTF">2026-05-30T18:32:38Z</dcterms:created>
  <dcterms:modified xsi:type="dcterms:W3CDTF">2026-05-30T18:32:38Z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