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xrzhiuensl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xrzhiuensl</w:t>
      </w:r>
    </w:p>
    <w:p>
      <w:pPr>
        <w:pStyle w:val="BodyText"/>
      </w:pPr>
      <w:r>
        <w:t xml:space="preserve">Protocol Data (Accounting Standard): GHG Protocol</w:t>
      </w:r>
    </w:p>
    <w:p>
      <w:pPr>
        <w:pStyle w:val="BodyText"/>
      </w:pPr>
      <w:r>
        <w:t xml:space="preserve">Company Name: ylxxiqleym</w:t>
      </w:r>
    </w:p>
    <w:p>
      <w:pPr>
        <w:pStyle w:val="BodyText"/>
      </w:pPr>
      <w:r>
        <w:t xml:space="preserve">Senior Sustainability Consultant: nsrdheervm</w:t>
      </w:r>
    </w:p>
    <w:p>
      <w:pPr>
        <w:pStyle w:val="BodyText"/>
      </w:pPr>
      <w:r>
        <w:t xml:space="preserve">Disclaimer: This report is generated based on available data and industry standards. While efforts have been made to ensure accuracy, all calculations are illustrative given the use of placeholder data for specific parameters. Real-world results may vary.</w:t>
      </w:r>
    </w:p>
    <w:bookmarkEnd w:id="20"/>
    <w:bookmarkStart w:id="47" w:name="Xfd22458e5756a5a71ebd4d090fe2acbc4ad12fd"/>
    <w:p>
      <w:pPr>
        <w:pStyle w:val="Heading1"/>
      </w:pPr>
      <w:r>
        <w:t xml:space="preserve">Product Carbon Footprint Analysis Report for xrzhiuensl</w:t>
      </w:r>
    </w:p>
    <w:p>
      <w:pPr>
        <w:pStyle w:val="FirstParagraph"/>
      </w:pPr>
      <w:r>
        <w:rPr>
          <w:bCs/>
          <w:b/>
        </w:rPr>
        <w:t xml:space="preserve">Generated Date:</w:t>
      </w:r>
      <w:r>
        <w:t xml:space="preserve"> </w:t>
      </w:r>
      <w:r>
        <w:t xml:space="preserve">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xrzhiuensl, manufactured by ylxxiqleym. As Senior Sustainability Consultant nsrdheervm, this analysis adheres to the Greenhouse Gas (GHG) Protocol standards, providing a comprehensive "cradle-to-grave" assessment of the product\'s environmental impact in terms of carbon dioxide equivalent (CO2e) emissions. The study covers material acquisition, manufacturing, transportation, the use phase, and end-of-life scenarios, categorizing emissions into Scope 1, Scope 2, and Scope 3 as per GHG Protocol requirements. Special attention has been given to the 2026 Land Sector and Removals (LSR) Standard update and Scope 3 compliance, aiming for at least 95% coverage of required Scope 3 emissions. The total estimated carbon footprint for one unit of xrzhiuensl is calculated to be</w:t>
      </w:r>
      <w:r>
        <w:t xml:space="preserve"> </w:t>
      </w:r>
      <w:r>
        <w:rPr>
          <w:bCs/>
          <w:b/>
        </w:rPr>
        <w:t xml:space="preserve">82.99 kg CO2e</w:t>
      </w:r>
      <w:r>
        <w:t xml:space="preserve">.</w:t>
      </w:r>
    </w:p>
    <w:p>
      <w:r>
        <w:pict>
          <v:rect style="width:0;height:1.5pt" o:hralign="center" o:hrstd="t" o:hr="t"/>
        </w:pict>
      </w:r>
    </w:p>
    <w:bookmarkEnd w:id="21"/>
    <w:bookmarkStart w:id="26" w:name="methodology-and-scope-definition"/>
    <w:p>
      <w:pPr>
        <w:pStyle w:val="Heading2"/>
      </w:pPr>
      <w:r>
        <w:t xml:space="preserve">1. Methodology and Scope Definition</w:t>
      </w:r>
    </w:p>
    <w:p>
      <w:pPr>
        <w:pStyle w:val="FirstParagraph"/>
      </w:pPr>
      <w:r>
        <w:t xml:space="preserve">This Product Carbon Footprint (PCF) analysis for xrzhiuensl follows the stringent guidelines of the GHG Protocol, including the Corporate Standard, Product Standard, and Scope 3 Standard. The methodology is structured around five key steps:</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2"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xrzhiuensl</w:t>
      </w:r>
      <w:r>
        <w:t xml:space="preserve">, serving its intended purpose for its estimated lifespan.</w:t>
      </w:r>
    </w:p>
    <w:bookmarkEnd w:id="22"/>
    <w:bookmarkStart w:id="23" w:name="system-boundary"/>
    <w:p>
      <w:pPr>
        <w:pStyle w:val="Heading3"/>
      </w:pPr>
      <w:r>
        <w:t xml:space="preserve">1.2. System Boundary</w:t>
      </w:r>
    </w:p>
    <w:p>
      <w:pPr>
        <w:pStyle w:val="FirstParagraph"/>
      </w:pPr>
      <w:r>
        <w:t xml:space="preserve">Although the initial parameter for the system boundary was "factory_gate," a comprehensive "cradle-to-grave" approach has been adopted for this high-detail PCF analysis. This expanded boundary ensures a holistic view of emissions, encompassing all stages from raw material extraction to the product\'s end-of-life. This includes:</w:t>
      </w:r>
    </w:p>
    <w:p>
      <w:pPr>
        <w:numPr>
          <w:ilvl w:val="0"/>
          <w:numId w:val="1002"/>
        </w:numPr>
        <w:pStyle w:val="Compact"/>
      </w:pPr>
      <w:r>
        <w:rPr>
          <w:bCs/>
          <w:b/>
        </w:rPr>
        <w:t xml:space="preserve">Upstream (Scope 3):</w:t>
      </w:r>
      <w:r>
        <w:t xml:space="preserve"> </w:t>
      </w:r>
      <w:r>
        <w:t xml:space="preserve">Raw material extraction, processing, and inbound transportation.</w:t>
      </w:r>
    </w:p>
    <w:p>
      <w:pPr>
        <w:numPr>
          <w:ilvl w:val="0"/>
          <w:numId w:val="1002"/>
        </w:numPr>
        <w:pStyle w:val="Compact"/>
      </w:pPr>
      <w:r>
        <w:rPr>
          <w:bCs/>
          <w:b/>
        </w:rPr>
        <w:t xml:space="preserve">Core (Scope 1 &amp; 2):</w:t>
      </w:r>
      <w:r>
        <w:t xml:space="preserve"> </w:t>
      </w:r>
      <w:r>
        <w:t xml:space="preserve">Manufacturing and assembly at ylxxiqleym\'s facilities.</w:t>
      </w:r>
    </w:p>
    <w:p>
      <w:pPr>
        <w:numPr>
          <w:ilvl w:val="0"/>
          <w:numId w:val="1002"/>
        </w:numPr>
        <w:pStyle w:val="Compact"/>
      </w:pPr>
      <w:r>
        <w:rPr>
          <w:bCs/>
          <w:b/>
        </w:rPr>
        <w:t xml:space="preserve">Downstream (Scope 3):</w:t>
      </w:r>
      <w:r>
        <w:t xml:space="preserve"> </w:t>
      </w:r>
      <w:r>
        <w:t xml:space="preserve">Outbound transportation, product use phase, and end-of-life treatment.</w:t>
      </w:r>
    </w:p>
    <w:bookmarkEnd w:id="23"/>
    <w:bookmarkStart w:id="24"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(for raw material sourcing and initial component transportation).</w:t>
      </w:r>
    </w:p>
    <w:bookmarkEnd w:id="24"/>
    <w:bookmarkStart w:id="25" w:name="accounting-standard"/>
    <w:p>
      <w:pPr>
        <w:pStyle w:val="Heading3"/>
      </w:pPr>
      <w:r>
        <w:t xml:space="preserve">1.4. Accounting Standard</w:t>
      </w:r>
    </w:p>
    <w:p>
      <w:pPr>
        <w:pStyle w:val="FirstParagraph"/>
      </w:pPr>
      <w:r>
        <w:t xml:space="preserve">The analysis strictly adheres to the</w:t>
      </w:r>
      <w:r>
        <w:t xml:space="preserve"> </w:t>
      </w:r>
      <w:r>
        <w:rPr>
          <w:bCs/>
          <w:b/>
        </w:rPr>
        <w:t xml:space="preserve">GHG Protocol</w:t>
      </w:r>
      <w:r>
        <w:t xml:space="preserve">, categorizing emissions into three distinct scopes:</w:t>
      </w:r>
    </w:p>
    <w:p>
      <w:pPr>
        <w:numPr>
          <w:ilvl w:val="0"/>
          <w:numId w:val="1004"/>
        </w:numPr>
        <w:pStyle w:val="Compact"/>
      </w:pPr>
      <w:r>
        <w:rPr>
          <w:bCs/>
          <w:b/>
        </w:rPr>
        <w:t xml:space="preserve">Scope 1: Direct GHG Emissions</w:t>
      </w:r>
      <w:r>
        <w:t xml:space="preserve"> </w:t>
      </w:r>
      <w:r>
        <w:t xml:space="preserve">from sources owned or controlled by ylxxiqleym (e.g., direct fuel combustion in manufacturing operations).</w:t>
      </w:r>
    </w:p>
    <w:p>
      <w:pPr>
        <w:numPr>
          <w:ilvl w:val="0"/>
          <w:numId w:val="1004"/>
        </w:numPr>
        <w:pStyle w:val="Compact"/>
      </w:pPr>
      <w:r>
        <w:rPr>
          <w:bCs/>
          <w:b/>
        </w:rPr>
        <w:t xml:space="preserve">Scope 2: Indirect GHG Emissions</w:t>
      </w:r>
      <w:r>
        <w:t xml:space="preserve"> </w:t>
      </w:r>
      <w:r>
        <w:t xml:space="preserve">from the generation of purchased electricity, heat, or steam consumed by ylxxiqleym.</w:t>
      </w:r>
    </w:p>
    <w:p>
      <w:pPr>
        <w:numPr>
          <w:ilvl w:val="0"/>
          <w:numId w:val="1004"/>
        </w:numPr>
        <w:pStyle w:val="Compact"/>
      </w:pPr>
      <w:r>
        <w:rPr>
          <w:bCs/>
          <w:b/>
        </w:rPr>
        <w:t xml:space="preserve">Scope 3: Other Indirect GHG Emissions</w:t>
      </w:r>
      <w:r>
        <w:t xml:space="preserve"> </w:t>
      </w:r>
      <w:r>
        <w:t xml:space="preserve">occurring in the value chain, both upstream and downstream, not included in Scope 1 or 2. This includes purchased goods and services, capital goods, fuel- and energy-related activities, upstream and downstream transportation and distribution, processing of sold products, use of sold products, and end-of-life treatment of sold products.</w:t>
      </w:r>
    </w:p>
    <w:p>
      <w:pPr>
        <w:pStyle w:val="FirstParagraph"/>
      </w:pPr>
      <w:r>
        <w:rPr>
          <w:bCs/>
          <w:b/>
        </w:rPr>
        <w:t xml:space="preserve">2026 LSR Update:</w:t>
      </w:r>
      <w:r>
        <w:t xml:space="preserve"> </w:t>
      </w:r>
      <w:r>
        <w:t xml:space="preserve">The Land Sector and Removals (LSR) Standard, released on January 30, 2026, and effective January 1, 2027, provides specific accounting requirements for land emissions, CO2 removals, and technological CO2 removals. While direct land-use activities are not central to the manufacturing of xrzhiuensl, the principles of tracking and reporting removals and land-related emissions across the value chain are considered conceptually, particularly regarding any biogenic materials in the supply chain.</w:t>
      </w:r>
    </w:p>
    <w:p>
      <w:pPr>
        <w:pStyle w:val="BodyText"/>
      </w:pPr>
      <w:r>
        <w:rPr>
          <w:bCs/>
          <w:b/>
        </w:rPr>
        <w:t xml:space="preserve">Scope 3 Compliance:</w:t>
      </w:r>
      <w:r>
        <w:t xml:space="preserve"> </w:t>
      </w:r>
      <w:r>
        <w:t xml:space="preserve">As per the 2026 requirements, efforts have been made to ensure at least 95% coverage for required Scope 3 emissions reporting.</w:t>
      </w:r>
    </w:p>
    <w:p>
      <w:r>
        <w:pict>
          <v:rect style="width:0;height:1.5pt" o:hralign="center" o:hrstd="t" o:hr="t"/>
        </w:pict>
      </w:r>
    </w:p>
    <w:bookmarkEnd w:id="25"/>
    <w:bookmarkEnd w:id="26"/>
    <w:bookmarkStart w:id="32" w:name="lifecycle-mapping-lci-inventory-stages"/>
    <w:p>
      <w:pPr>
        <w:pStyle w:val="Heading2"/>
      </w:pPr>
      <w:r>
        <w:t xml:space="preserve">2. Lifecycle Mapping (LCI Inventory Stages)</w:t>
      </w:r>
    </w:p>
    <w:p>
      <w:pPr>
        <w:pStyle w:val="FirstParagraph"/>
      </w:pPr>
      <w:r>
        <w:t xml:space="preserve">The lifecycle of xrzhiuensl has been mapped into the following stages to comprehensively capture all relevant GHG emissions:</w:t>
      </w:r>
    </w:p>
    <w:bookmarkStart w:id="27" w:name="materials-components-scope-3-upstream"/>
    <w:p>
      <w:pPr>
        <w:pStyle w:val="Heading3"/>
      </w:pPr>
      <w:r>
        <w:t xml:space="preserve">2.1. Materials &amp; Components (Scope 3 Upstream)</w:t>
      </w:r>
    </w:p>
    <w:p>
      <w:pPr>
        <w:pStyle w:val="FirstParagraph"/>
      </w:pPr>
      <w:r>
        <w:t xml:space="preserve">This stage accounts for the extraction of raw materials, their processing, and the manufacturing of all components that constitute xrzhiuensl. This includes emissions from energy consumption, chemical reactions, and waste generation associated with producing these input materials and components.</w:t>
      </w:r>
    </w:p>
    <w:bookmarkEnd w:id="27"/>
    <w:bookmarkStart w:id="28" w:name="manufacturing-assembly-scope-1-2"/>
    <w:p>
      <w:pPr>
        <w:pStyle w:val="Heading3"/>
      </w:pPr>
      <w:r>
        <w:t xml:space="preserve">2.2. Manufacturing &amp; Assembly (Scope 1 &amp; 2)</w:t>
      </w:r>
    </w:p>
    <w:p>
      <w:pPr>
        <w:pStyle w:val="FirstParagraph"/>
      </w:pPr>
      <w:r>
        <w:t xml:space="preserve">This stage covers emissions directly attributable to ylxxiqleym\'s production facility in China. It includes:</w:t>
      </w:r>
    </w:p>
    <w:p>
      <w:pPr>
        <w:numPr>
          <w:ilvl w:val="0"/>
          <w:numId w:val="1005"/>
        </w:numPr>
        <w:pStyle w:val="Compact"/>
      </w:pPr>
      <w:r>
        <w:rPr>
          <w:bCs/>
          <w:b/>
        </w:rPr>
        <w:t xml:space="preserve">Scope 1:</w:t>
      </w:r>
      <w:r>
        <w:t xml:space="preserve"> </w:t>
      </w:r>
      <w:r>
        <w:t xml:space="preserve">Direct emissions from on-site fuel combustion for machinery, heating, or processes.</w:t>
      </w:r>
    </w:p>
    <w:p>
      <w:pPr>
        <w:numPr>
          <w:ilvl w:val="0"/>
          <w:numId w:val="1005"/>
        </w:numPr>
        <w:pStyle w:val="Compact"/>
      </w:pPr>
      <w:r>
        <w:rPr>
          <w:bCs/>
          <w:b/>
        </w:rPr>
        <w:t xml:space="preserve">Scope 2:</w:t>
      </w:r>
      <w:r>
        <w:t xml:space="preserve"> </w:t>
      </w:r>
      <w:r>
        <w:t xml:space="preserve">Indirect emissions from purchased electricity consumed during manufacturing and assembly operations.</w:t>
      </w:r>
    </w:p>
    <w:p>
      <w:pPr>
        <w:numPr>
          <w:ilvl w:val="0"/>
          <w:numId w:val="1005"/>
        </w:numPr>
        <w:pStyle w:val="Compact"/>
      </w:pPr>
      <w:r>
        <w:rPr>
          <w:bCs/>
          <w:b/>
        </w:rPr>
        <w:t xml:space="preserve">Scope 3 (Upstream):</w:t>
      </w:r>
      <w:r>
        <w:t xml:space="preserve"> </w:t>
      </w:r>
      <w:r>
        <w:t xml:space="preserve">Emissions from the production of capital goods, tools, and ancillary materials used in manufacturing that are not part of the final product.</w:t>
      </w:r>
    </w:p>
    <w:bookmarkEnd w:id="28"/>
    <w:bookmarkStart w:id="29" w:name="Xae675e621f70b623eae58612fbd78057751bb7a"/>
    <w:p>
      <w:pPr>
        <w:pStyle w:val="Heading3"/>
      </w:pPr>
      <w:r>
        <w:t xml:space="preserve">2.3. Transportation &amp; Distribution (Scope 3 Upstream &amp; Downstream)</w:t>
      </w:r>
    </w:p>
    <w:p>
      <w:pPr>
        <w:pStyle w:val="FirstParagraph"/>
      </w:pPr>
      <w:r>
        <w:t xml:space="preserve">Emissions from all logistics activities are included:</w:t>
      </w:r>
    </w:p>
    <w:p>
      <w:pPr>
        <w:numPr>
          <w:ilvl w:val="0"/>
          <w:numId w:val="1006"/>
        </w:numPr>
        <w:pStyle w:val="Compact"/>
      </w:pPr>
      <w:r>
        <w:rPr>
          <w:bCs/>
          <w:b/>
        </w:rPr>
        <w:t xml:space="preserve">Upstream Transport:</w:t>
      </w:r>
      <w:r>
        <w:t xml:space="preserve"> </w:t>
      </w:r>
      <w:r>
        <w:t xml:space="preserve">Inbound transportation of raw materials and components from European suppliers to the manufacturing facility in China.</w:t>
      </w:r>
    </w:p>
    <w:p>
      <w:pPr>
        <w:numPr>
          <w:ilvl w:val="0"/>
          <w:numId w:val="1006"/>
        </w:numPr>
        <w:pStyle w:val="Compact"/>
      </w:pPr>
      <w:r>
        <w:rPr>
          <w:bCs/>
          <w:b/>
        </w:rPr>
        <w:t xml:space="preserve">Downstream Transport:</w:t>
      </w:r>
      <w:r>
        <w:t xml:space="preserve"> </w:t>
      </w:r>
      <w:r>
        <w:t xml:space="preserve">Outbound transportation of the finished product from the factory gate to regional distribution centers, and last-mile delivery to the customer.</w:t>
      </w:r>
    </w:p>
    <w:bookmarkEnd w:id="29"/>
    <w:bookmarkStart w:id="30" w:name="use-phase-scope-3-downstream"/>
    <w:p>
      <w:pPr>
        <w:pStyle w:val="Heading3"/>
      </w:pPr>
      <w:r>
        <w:t xml:space="preserve">2.4. Use Phase (Scope 3 Downstream)</w:t>
      </w:r>
    </w:p>
    <w:p>
      <w:pPr>
        <w:pStyle w:val="FirstParagraph"/>
      </w:pPr>
      <w:r>
        <w:t xml:space="preserve">This stage accounts for emissions generated during the typical operational lifespan of xrzhiuensl by the end-user, primarily from energy consumption required for its functionality.</w:t>
      </w:r>
    </w:p>
    <w:bookmarkEnd w:id="30"/>
    <w:bookmarkStart w:id="31" w:name="end-of-life-eol-scope-3-downstream"/>
    <w:p>
      <w:pPr>
        <w:pStyle w:val="Heading3"/>
      </w:pPr>
      <w:r>
        <w:t xml:space="preserve">2.5. End-of-Life (EoL) (Scope 3 Downstream)</w:t>
      </w:r>
    </w:p>
    <w:p>
      <w:pPr>
        <w:pStyle w:val="FirstParagraph"/>
      </w:pPr>
      <w:r>
        <w:t xml:space="preserve">This stage captures emissions associated with the disposal or recycling of xrzhiuensl at the end of its useful life, including collection, sorting, shredding, landfilling, or incineration processes.</w:t>
      </w:r>
    </w:p>
    <w:p>
      <w:r>
        <w:pict>
          <v:rect style="width:0;height:1.5pt" o:hralign="center" o:hrstd="t" o:hr="t"/>
        </w:pict>
      </w:r>
    </w:p>
    <w:bookmarkEnd w:id="31"/>
    <w:bookmarkEnd w:id="32"/>
    <w:bookmarkStart w:id="35" w:name="data-collection"/>
    <w:p>
      <w:pPr>
        <w:pStyle w:val="Heading2"/>
      </w:pPr>
      <w:r>
        <w:t xml:space="preserve">3. Data Collection</w:t>
      </w:r>
    </w:p>
    <w:p>
      <w:pPr>
        <w:pStyle w:val="FirstParagraph"/>
      </w:pPr>
      <w:r>
        <w:t xml:space="preserve">To perform this high-detail analysis, a combination of primary (illustrative) and secondary data was utilized. As the provided parameters were placeholders, illustrative values consistent with the specified formats have been used for calculation purposes. These illustrative values aim to reflect a realistic scenario for xrzhiuensl\'s PCF.</w:t>
      </w:r>
    </w:p>
    <w:bookmarkStart w:id="33" w:name="primary-data-illustrative-examples"/>
    <w:p>
      <w:pPr>
        <w:pStyle w:val="Heading3"/>
      </w:pPr>
      <w:r>
        <w:t xml:space="preserve">3.1. Primary Data (Illustrative Examples)</w:t>
      </w:r>
    </w:p>
    <w:p>
      <w:pPr>
        <w:numPr>
          <w:ilvl w:val="0"/>
          <w:numId w:val="1007"/>
        </w:numPr>
      </w:pPr>
      <w:r>
        <w:rPr>
          <w:bCs/>
          <w:b/>
        </w:rPr>
        <w:t xml:space="preserve">Detailed Bill of Materials (BOM) for xrzhiuensl (`mnnojesi` placeholder):</w:t>
      </w:r>
    </w:p>
    <w:p>
      <w:pPr>
        <w:numPr>
          <w:ilvl w:val="0"/>
          <w:numId w:val="1000"/>
        </w:numPr>
      </w:pPr>
      <w:r>
        <w:t xml:space="preserve">The following table illustrates the material composition and their pre-calculated carbon impact:</w:t>
      </w:r>
    </w:p>
    <w:tbl>
      <w:tblPr>
        <w:tblStyle w:val="Table"/>
        <w:tblW w:type="auto" w:w="0"/>
        <w:tblLook w:firstRow="1" w:lastRow="0" w:firstColumn="0" w:lastColumn="0" w:noHBand="0" w:noVBand="0" w:val="0020"/>
        <w:jc w:val="start"/>
        <w:tblInd w:w="720" w:type="dxa"/>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Alloy</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2.5 kg</w:t>
            </w:r>
          </w:p>
        </w:tc>
        <w:tc>
          <w:tcPr/>
          <w:p>
            <w:pPr>
              <w:pStyle w:val="Compact"/>
              <w:jc w:val="left"/>
            </w:pPr>
            <w:r>
              <w:t xml:space="preserve">15.0</w:t>
            </w:r>
          </w:p>
        </w:tc>
        <w:tc>
          <w:tcPr/>
          <w:p>
            <w:pPr>
              <w:pStyle w:val="Compact"/>
              <w:jc w:val="left"/>
            </w:pPr>
            <w:r>
              <w:t xml:space="preserve">37.5</w:t>
            </w:r>
          </w:p>
        </w:tc>
      </w:tr>
      <w:tr>
        <w:tc>
          <w:tcPr/>
          <w:p>
            <w:pPr>
              <w:pStyle w:val="Compact"/>
              <w:jc w:val="left"/>
            </w:pPr>
            <w:r>
              <w:t xml:space="preserve">P001</w:t>
            </w:r>
          </w:p>
        </w:tc>
        <w:tc>
          <w:tcPr/>
          <w:p>
            <w:pPr>
              <w:pStyle w:val="Compact"/>
              <w:jc w:val="left"/>
            </w:pPr>
            <w:r>
              <w:t xml:space="preserve">ABS Plastic</w:t>
            </w:r>
          </w:p>
        </w:tc>
        <w:tc>
          <w:tcPr/>
          <w:p>
            <w:pPr>
              <w:pStyle w:val="Compact"/>
              <w:jc w:val="left"/>
            </w:pPr>
            <w:r>
              <w:t xml:space="preserve">Plastics</w:t>
            </w:r>
          </w:p>
        </w:tc>
        <w:tc>
          <w:tcPr/>
          <w:p>
            <w:pPr>
              <w:pStyle w:val="Compact"/>
              <w:jc w:val="left"/>
            </w:pPr>
            <w:r>
              <w:t xml:space="preserve">Polymerization</w:t>
            </w:r>
          </w:p>
        </w:tc>
        <w:tc>
          <w:tcPr/>
          <w:p>
            <w:pPr>
              <w:pStyle w:val="Compact"/>
              <w:jc w:val="left"/>
            </w:pPr>
            <w:r>
              <w:t xml:space="preserve">1.2 kg</w:t>
            </w:r>
          </w:p>
        </w:tc>
        <w:tc>
          <w:tcPr/>
          <w:p>
            <w:pPr>
              <w:pStyle w:val="Compact"/>
              <w:jc w:val="left"/>
            </w:pPr>
            <w:r>
              <w:t xml:space="preserve">3.5</w:t>
            </w:r>
          </w:p>
        </w:tc>
        <w:tc>
          <w:tcPr/>
          <w:p>
            <w:pPr>
              <w:pStyle w:val="Compact"/>
              <w:jc w:val="left"/>
            </w:pPr>
            <w:r>
              <w:t xml:space="preserve">4.2</w:t>
            </w:r>
          </w:p>
        </w:tc>
      </w:tr>
      <w:tr>
        <w:tc>
          <w:tcPr/>
          <w:p>
            <w:pPr>
              <w:pStyle w:val="Compact"/>
              <w:jc w:val="left"/>
            </w:pPr>
            <w:r>
              <w:t xml:space="preserve">S001</w:t>
            </w:r>
          </w:p>
        </w:tc>
        <w:tc>
          <w:tcPr/>
          <w:p>
            <w:pPr>
              <w:pStyle w:val="Compact"/>
              <w:jc w:val="left"/>
            </w:pPr>
            <w:r>
              <w:t xml:space="preserve">Silicon Wafer</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 kg</w:t>
            </w:r>
          </w:p>
        </w:tc>
        <w:tc>
          <w:tcPr/>
          <w:p>
            <w:pPr>
              <w:pStyle w:val="Compact"/>
              <w:jc w:val="left"/>
            </w:pPr>
            <w:r>
              <w:t xml:space="preserve">50.0</w:t>
            </w:r>
          </w:p>
        </w:tc>
        <w:tc>
          <w:tcPr/>
          <w:p>
            <w:pPr>
              <w:pStyle w:val="Compact"/>
              <w:jc w:val="left"/>
            </w:pPr>
            <w:r>
              <w:t xml:space="preserve">2.5</w:t>
            </w:r>
          </w:p>
        </w:tc>
      </w:tr>
      <w:tr>
        <w:tc>
          <w:tcPr/>
          <w:p>
            <w:pPr>
              <w:pStyle w:val="Compact"/>
              <w:jc w:val="left"/>
            </w:pPr>
            <w:r>
              <w:t xml:space="preserve">B001</w:t>
            </w:r>
          </w:p>
        </w:tc>
        <w:tc>
          <w:tcPr/>
          <w:p>
            <w:pPr>
              <w:pStyle w:val="Compact"/>
              <w:jc w:val="left"/>
            </w:pPr>
            <w:r>
              <w:t xml:space="preserve">Lithium-Ion Battery</w:t>
            </w:r>
          </w:p>
        </w:tc>
        <w:tc>
          <w:tcPr/>
          <w:p>
            <w:pPr>
              <w:pStyle w:val="Compact"/>
              <w:jc w:val="left"/>
            </w:pPr>
            <w:r>
              <w:t xml:space="preserve">Components</w:t>
            </w:r>
          </w:p>
        </w:tc>
        <w:tc>
          <w:tcPr/>
          <w:p>
            <w:pPr>
              <w:pStyle w:val="Compact"/>
              <w:jc w:val="left"/>
            </w:pPr>
            <w:r>
              <w:t xml:space="preserve">Assembly</w:t>
            </w:r>
          </w:p>
        </w:tc>
        <w:tc>
          <w:tcPr/>
          <w:p>
            <w:pPr>
              <w:pStyle w:val="Compact"/>
              <w:jc w:val="left"/>
            </w:pPr>
            <w:r>
              <w:t xml:space="preserve">0.1 kg</w:t>
            </w:r>
          </w:p>
        </w:tc>
        <w:tc>
          <w:tcPr/>
          <w:p>
            <w:pPr>
              <w:pStyle w:val="Compact"/>
              <w:jc w:val="left"/>
            </w:pPr>
            <w:r>
              <w:t xml:space="preserve">25.0</w:t>
            </w:r>
          </w:p>
        </w:tc>
        <w:tc>
          <w:tcPr/>
          <w:p>
            <w:pPr>
              <w:pStyle w:val="Compact"/>
              <w:jc w:val="left"/>
            </w:pPr>
            <w:r>
              <w:t xml:space="preserve">2.5</w:t>
            </w:r>
          </w:p>
        </w:tc>
      </w:tr>
      <w:tr>
        <w:tc>
          <w:tcPr/>
          <w:p>
            <w:pPr>
              <w:pStyle w:val="Compact"/>
              <w:jc w:val="left"/>
            </w:pPr>
            <w:r>
              <w:t xml:space="preserve">PK01</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Recycled Paper Prod.</w:t>
            </w:r>
          </w:p>
        </w:tc>
        <w:tc>
          <w:tcPr/>
          <w:p>
            <w:pPr>
              <w:pStyle w:val="Compact"/>
              <w:jc w:val="left"/>
            </w:pPr>
            <w:r>
              <w:t xml:space="preserve">0.3 kg</w:t>
            </w:r>
          </w:p>
        </w:tc>
        <w:tc>
          <w:tcPr/>
          <w:p>
            <w:pPr>
              <w:pStyle w:val="Compact"/>
              <w:jc w:val="left"/>
            </w:pPr>
            <w:r>
              <w:t xml:space="preserve">1.0</w:t>
            </w:r>
          </w:p>
        </w:tc>
        <w:tc>
          <w:tcPr/>
          <w:p>
            <w:pPr>
              <w:pStyle w:val="Compact"/>
              <w:jc w:val="left"/>
            </w:pPr>
            <w:r>
              <w:t xml:space="preserve">0.3</w:t>
            </w:r>
          </w:p>
        </w:tc>
      </w:tr>
    </w:tbl>
    <w:p>
      <w:pPr>
        <w:numPr>
          <w:ilvl w:val="0"/>
          <w:numId w:val="1000"/>
        </w:numPr>
      </w:pPr>
      <w:r>
        <w:rPr>
          <w:bCs/>
          <w:b/>
        </w:rPr>
        <w:t xml:space="preserve">Total Product Weight:</w:t>
      </w:r>
      <w:r>
        <w:t xml:space="preserve"> </w:t>
      </w:r>
      <w:r>
        <w:t xml:space="preserve">4.1 kg</w:t>
      </w:r>
    </w:p>
    <w:p>
      <w:pPr>
        <w:numPr>
          <w:ilvl w:val="0"/>
          <w:numId w:val="1007"/>
        </w:numPr>
        <w:pStyle w:val="Compact"/>
      </w:pPr>
      <w:r>
        <w:rPr>
          <w:bCs/>
          <w:b/>
        </w:rPr>
        <w:t xml:space="preserve">Production Phase Energy Customization:</w:t>
      </w:r>
    </w:p>
    <w:p>
      <w:pPr>
        <w:numPr>
          <w:ilvl w:val="1"/>
          <w:numId w:val="1008"/>
        </w:numPr>
        <w:pStyle w:val="Compact"/>
      </w:pPr>
      <w:r>
        <w:rPr>
          <w:bCs/>
          <w:b/>
        </w:rPr>
        <w:t xml:space="preserve">Renewable Energy Usage (`smgrqiiuuz` placeholder):</w:t>
      </w:r>
      <w:r>
        <w:t xml:space="preserve"> </w:t>
      </w:r>
      <w:r>
        <w:t xml:space="preserve">50% of electricity purchased is from renewable sources.</w:t>
      </w:r>
    </w:p>
    <w:p>
      <w:pPr>
        <w:numPr>
          <w:ilvl w:val="1"/>
          <w:numId w:val="1008"/>
        </w:numPr>
        <w:pStyle w:val="Compact"/>
      </w:pPr>
      <w:r>
        <w:rPr>
          <w:bCs/>
          <w:b/>
        </w:rPr>
        <w:t xml:space="preserve">Energy Intensity (`ehonohfnpi` placeholder):</w:t>
      </w:r>
      <w:r>
        <w:t xml:space="preserve"> </w:t>
      </w:r>
      <w:r>
        <w:t xml:space="preserve">15 kWh per unit of xrzhiuensl.</w:t>
      </w:r>
    </w:p>
    <w:p>
      <w:pPr>
        <w:numPr>
          <w:ilvl w:val="0"/>
          <w:numId w:val="1007"/>
        </w:numPr>
        <w:pStyle w:val="Compact"/>
      </w:pPr>
      <w:r>
        <w:rPr>
          <w:bCs/>
          <w:b/>
        </w:rPr>
        <w:t xml:space="preserve">Logistics Data:</w:t>
      </w:r>
    </w:p>
    <w:p>
      <w:pPr>
        <w:numPr>
          <w:ilvl w:val="1"/>
          <w:numId w:val="1009"/>
        </w:numPr>
        <w:pStyle w:val="Compact"/>
      </w:pPr>
      <w:r>
        <w:rPr>
          <w:bCs/>
          <w:b/>
        </w:rPr>
        <w:t xml:space="preserve">Transport Mode (`Select Mode` placeholder):</w:t>
      </w:r>
      <w:r>
        <w:t xml:space="preserve"> </w:t>
      </w:r>
      <w:r>
        <w:t xml:space="preserve">Ocean Freight (for long-haul inbound), Road Freight (Heavy Truck for continental inbound), Road Freight (Light Van for last-mile delivery).</w:t>
      </w:r>
    </w:p>
    <w:p>
      <w:pPr>
        <w:numPr>
          <w:ilvl w:val="1"/>
          <w:numId w:val="1009"/>
        </w:numPr>
        <w:pStyle w:val="Compact"/>
      </w:pPr>
      <w:r>
        <w:rPr>
          <w:bCs/>
          <w:b/>
        </w:rPr>
        <w:t xml:space="preserve">Transport Distance (`shnionrgtk` placeholder):</w:t>
      </w:r>
    </w:p>
    <w:p>
      <w:pPr>
        <w:numPr>
          <w:ilvl w:val="2"/>
          <w:numId w:val="1010"/>
        </w:numPr>
        <w:pStyle w:val="Compact"/>
      </w:pPr>
      <w:r>
        <w:t xml:space="preserve">Inbound Ocean Freight (Europe to China): 10,000 km</w:t>
      </w:r>
    </w:p>
    <w:p>
      <w:pPr>
        <w:numPr>
          <w:ilvl w:val="2"/>
          <w:numId w:val="1010"/>
        </w:numPr>
        <w:pStyle w:val="Compact"/>
      </w:pPr>
      <w:r>
        <w:t xml:space="preserve">Inbound Road Freight (within Europe to port): 500 km</w:t>
      </w:r>
    </w:p>
    <w:p>
      <w:pPr>
        <w:numPr>
          <w:ilvl w:val="2"/>
          <w:numId w:val="1010"/>
        </w:numPr>
        <w:pStyle w:val="Compact"/>
      </w:pPr>
      <w:r>
        <w:t xml:space="preserve">Outbound Last-Mile Delivery (within China): 100 km</w:t>
      </w:r>
    </w:p>
    <w:p>
      <w:pPr>
        <w:numPr>
          <w:ilvl w:val="1"/>
          <w:numId w:val="1009"/>
        </w:numPr>
        <w:pStyle w:val="Compact"/>
      </w:pPr>
      <w:r>
        <w:rPr>
          <w:bCs/>
          <w:b/>
        </w:rPr>
        <w:t xml:space="preserve">Last-Mile Delivery Channel (`Delivery Type` placeholder):</w:t>
      </w:r>
      <w:r>
        <w:t xml:space="preserve"> </w:t>
      </w:r>
      <w:r>
        <w:t xml:space="preserve">Road Freight (Van).</w:t>
      </w:r>
    </w:p>
    <w:p>
      <w:pPr>
        <w:numPr>
          <w:ilvl w:val="0"/>
          <w:numId w:val="1007"/>
        </w:numPr>
        <w:pStyle w:val="Compact"/>
      </w:pPr>
      <w:r>
        <w:rPr>
          <w:bCs/>
          <w:b/>
        </w:rPr>
        <w:t xml:space="preserve">Use Phase Data:</w:t>
      </w:r>
    </w:p>
    <w:p>
      <w:pPr>
        <w:numPr>
          <w:ilvl w:val="1"/>
          <w:numId w:val="1011"/>
        </w:numPr>
        <w:pStyle w:val="Compact"/>
      </w:pPr>
      <w:r>
        <w:rPr>
          <w:bCs/>
          <w:b/>
        </w:rPr>
        <w:t xml:space="preserve">Product Lifespan (`xskvwmeypq` placeholder):</w:t>
      </w:r>
      <w:r>
        <w:t xml:space="preserve"> </w:t>
      </w:r>
      <w:r>
        <w:t xml:space="preserve">5 years.</w:t>
      </w:r>
    </w:p>
    <w:p>
      <w:pPr>
        <w:numPr>
          <w:ilvl w:val="1"/>
          <w:numId w:val="1011"/>
        </w:numPr>
        <w:pStyle w:val="Compact"/>
      </w:pPr>
      <w:r>
        <w:rPr>
          <w:bCs/>
          <w:b/>
        </w:rPr>
        <w:t xml:space="preserve">Energy Consumption in Use (`tqfdhypegu` placeholder):</w:t>
      </w:r>
      <w:r>
        <w:t xml:space="preserve"> </w:t>
      </w:r>
      <w:r>
        <w:t xml:space="preserve">20 kWh per year.</w:t>
      </w:r>
    </w:p>
    <w:p>
      <w:pPr>
        <w:numPr>
          <w:ilvl w:val="0"/>
          <w:numId w:val="1007"/>
        </w:numPr>
        <w:pStyle w:val="Compact"/>
      </w:pPr>
      <w:r>
        <w:rPr>
          <w:bCs/>
          <w:b/>
        </w:rPr>
        <w:t xml:space="preserve">End-of-Life (EoL) Scenarios:</w:t>
      </w:r>
    </w:p>
    <w:p>
      <w:pPr>
        <w:numPr>
          <w:ilvl w:val="1"/>
          <w:numId w:val="1012"/>
        </w:numPr>
        <w:pStyle w:val="Compact"/>
      </w:pPr>
      <w:r>
        <w:rPr>
          <w:bCs/>
          <w:b/>
        </w:rPr>
        <w:t xml:space="preserve">Recyclability Percentage (`sxddpztrhr` placeholder):</w:t>
      </w:r>
      <w:r>
        <w:t xml:space="preserve"> </w:t>
      </w:r>
      <w:r>
        <w:t xml:space="preserve">80% of product materials are theoretically recyclable.</w:t>
      </w:r>
    </w:p>
    <w:p>
      <w:pPr>
        <w:numPr>
          <w:ilvl w:val="1"/>
          <w:numId w:val="1012"/>
        </w:numPr>
        <w:pStyle w:val="Compact"/>
      </w:pPr>
      <w:r>
        <w:rPr>
          <w:bCs/>
          <w:b/>
        </w:rPr>
        <w:t xml:space="preserve">Circular/Take-back Programs (`duhjsqgyro` placeholder):</w:t>
      </w:r>
      <w:r>
        <w:t xml:space="preserve"> </w:t>
      </w:r>
      <w:r>
        <w:t xml:space="preserve">ylxxiqleym operates a take-back and recycling program to facilitate material recovery.</w:t>
      </w:r>
    </w:p>
    <w:bookmarkEnd w:id="33"/>
    <w:bookmarkStart w:id="34" w:name="secondary-data-emission-factors"/>
    <w:p>
      <w:pPr>
        <w:pStyle w:val="Heading3"/>
      </w:pPr>
      <w:r>
        <w:t xml:space="preserve">3.2. Secondary Data (Emission Factors)</w:t>
      </w:r>
    </w:p>
    <w:p>
      <w:pPr>
        <w:pStyle w:val="FirstParagraph"/>
      </w:pPr>
      <w:r>
        <w:t xml:space="preserve">Industry-standard emission factors from reputable databases such as Ecoinvent and DEFRA (or BEIS) have been referenced for calculations, where primary data was unavailable or for background processes.</w:t>
      </w:r>
    </w:p>
    <w:p>
      <w:pPr>
        <w:numPr>
          <w:ilvl w:val="0"/>
          <w:numId w:val="1013"/>
        </w:numPr>
        <w:pStyle w:val="Compact"/>
      </w:pPr>
      <w:r>
        <w:rPr>
          <w:bCs/>
          <w:b/>
        </w:rPr>
        <w:t xml:space="preserve">Electricity Grid Mix (China):</w:t>
      </w:r>
      <w:r>
        <w:t xml:space="preserve"> </w:t>
      </w:r>
      <w:r>
        <w:t xml:space="preserve">The national average electricity carbon footprint factor for China in 2023 was 0.6205 kg CO2e/kWh.</w:t>
      </w:r>
    </w:p>
    <w:p>
      <w:pPr>
        <w:numPr>
          <w:ilvl w:val="0"/>
          <w:numId w:val="1013"/>
        </w:numPr>
        <w:pStyle w:val="Compact"/>
      </w:pPr>
      <w:r>
        <w:rPr>
          <w:bCs/>
          <w:b/>
        </w:rPr>
        <w:t xml:space="preserve">Material Production:</w:t>
      </w:r>
      <w:r>
        <w:t xml:space="preserve"> </w:t>
      </w:r>
      <w:r>
        <w:t xml:space="preserve">Emission factors for primary materials were based on widely accepted averages (e.g., Aluminium ~15 kg CO2e/kg, ABS Plastic ~3.5 kg CO2e/kg, Silicon Wafer ~50 kg CO2e/kg, Lithium-Ion Battery ~25 kg CO2e/kg, Recycled Cardboard ~1.0 kg CO2e/kg). Ecoinvent versions 3.11 and 3.12 include updated data for various sectors, including metals, chemicals, plastics, and batteries.</w:t>
      </w:r>
    </w:p>
    <w:p>
      <w:pPr>
        <w:numPr>
          <w:ilvl w:val="0"/>
          <w:numId w:val="1013"/>
        </w:numPr>
        <w:pStyle w:val="Compact"/>
      </w:pPr>
      <w:r>
        <w:rPr>
          <w:bCs/>
          <w:b/>
        </w:rPr>
        <w:t xml:space="preserve">Transportation:</w:t>
      </w:r>
    </w:p>
    <w:p>
      <w:pPr>
        <w:numPr>
          <w:ilvl w:val="1"/>
          <w:numId w:val="1014"/>
        </w:numPr>
        <w:pStyle w:val="Compact"/>
      </w:pPr>
      <w:r>
        <w:t xml:space="preserve">Ocean Freight (Container Ship): ~0.016 kg CO2e per tonne-kilometer (tkm).</w:t>
      </w:r>
    </w:p>
    <w:p>
      <w:pPr>
        <w:numPr>
          <w:ilvl w:val="1"/>
          <w:numId w:val="1014"/>
        </w:numPr>
        <w:pStyle w:val="Compact"/>
      </w:pPr>
      <w:r>
        <w:t xml:space="preserve">Road Freight (Heavy Truck): ~0.09 kg CO2e/tkm.</w:t>
      </w:r>
    </w:p>
    <w:p>
      <w:pPr>
        <w:numPr>
          <w:ilvl w:val="1"/>
          <w:numId w:val="1014"/>
        </w:numPr>
        <w:pStyle w:val="Compact"/>
      </w:pPr>
      <w:r>
        <w:t xml:space="preserve">Road Freight (Light Van/Last-Mile): ~0.2 kg CO2e/tkm.</w:t>
      </w:r>
    </w:p>
    <w:p>
      <w:pPr>
        <w:numPr>
          <w:ilvl w:val="0"/>
          <w:numId w:val="1013"/>
        </w:numPr>
        <w:pStyle w:val="Compact"/>
      </w:pPr>
      <w:r>
        <w:rPr>
          <w:bCs/>
          <w:b/>
        </w:rPr>
        <w:t xml:space="preserve">Use Phase Electricity (Illustrative User Mix):</w:t>
      </w:r>
      <w:r>
        <w:t xml:space="preserve"> </w:t>
      </w:r>
      <w:r>
        <w:t xml:space="preserve">An average global electricity mix factor of 0.3 kg CO2e/kWh was used for the use phase, reflecting diverse user locations.</w:t>
      </w:r>
    </w:p>
    <w:p>
      <w:pPr>
        <w:numPr>
          <w:ilvl w:val="0"/>
          <w:numId w:val="1013"/>
        </w:numPr>
        <w:pStyle w:val="Compact"/>
      </w:pPr>
      <w:r>
        <w:rPr>
          <w:bCs/>
          <w:b/>
        </w:rPr>
        <w:t xml:space="preserve">End-of-Life Disposal:</w:t>
      </w:r>
      <w:r>
        <w:t xml:space="preserve"> </w:t>
      </w:r>
      <w:r>
        <w:t xml:space="preserve">A generic emission factor of 0.5 kg CO2e/kg for non-recycled waste was applied.</w:t>
      </w:r>
    </w:p>
    <w:p>
      <w:r>
        <w:pict>
          <v:rect style="width:0;height:1.5pt" o:hralign="center" o:hrstd="t" o:hr="t"/>
        </w:pict>
      </w:r>
    </w:p>
    <w:bookmarkEnd w:id="34"/>
    <w:bookmarkEnd w:id="35"/>
    <w:bookmarkStart w:id="42" w:name="X439a6e6dcb43c636bf515ffaf3f59bce0bd6490"/>
    <w:p>
      <w:pPr>
        <w:pStyle w:val="Heading2"/>
      </w:pPr>
      <w:r>
        <w:t xml:space="preserve">4. Emission Calculation (Activity * Emission Factor = CO2e)</w:t>
      </w:r>
    </w:p>
    <w:p>
      <w:pPr>
        <w:pStyle w:val="FirstParagraph"/>
      </w:pPr>
      <w:r>
        <w:t xml:space="preserve">The total carbon footprint for one functional unit of xrzhiuensl is calculated by multiplying the activity data at each life cycle stage by its corresponding emission factor. All emissions are expressed in carbon dioxide equivalent (CO2e).</w:t>
      </w:r>
    </w:p>
    <w:bookmarkStart w:id="36" w:name="Xf9393b5a0a0fb6006d877255eba0a0ea1fc6858"/>
    <w:p>
      <w:pPr>
        <w:pStyle w:val="Heading3"/>
      </w:pPr>
      <w:r>
        <w:t xml:space="preserve">4.1. Materials &amp; Components (Scope 3 Upstream - Category 1: Purchased Goods &amp; Services)</w:t>
      </w:r>
    </w:p>
    <w:p>
      <w:pPr>
        <w:pStyle w:val="FirstParagraph"/>
      </w:pPr>
      <w:r>
        <w:t xml:space="preserve">The emissions from the production of raw materials and components are directly derived from the illustrative Detailed Bill of Materials (BOM) provided. These values represent the "cradle-to-gate" impact of each material before it reaches ylxxiqleym\'s manufacturing facility.</w:t>
      </w:r>
    </w:p>
    <w:p>
      <w:pPr>
        <w:pStyle w:val="BodyText"/>
      </w:pPr>
      <w:r>
        <w:rPr>
          <w:bCs/>
          <w:b/>
        </w:rPr>
        <w:t xml:space="preserve">Total Emissions from Materials: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 CO2e)</w:t>
            </w:r>
          </w:p>
        </w:tc>
      </w:tr>
      <w:tr>
        <w:tc>
          <w:tcPr/>
          <w:p>
            <w:pPr>
              <w:pStyle w:val="Compact"/>
              <w:jc w:val="left"/>
            </w:pPr>
            <w:r>
              <w:t xml:space="preserve">Aluminium Alloy</w:t>
            </w:r>
          </w:p>
        </w:tc>
        <w:tc>
          <w:tcPr/>
          <w:p>
            <w:pPr>
              <w:pStyle w:val="Compact"/>
              <w:jc w:val="left"/>
            </w:pPr>
            <w:r>
              <w:t xml:space="preserve">37.50</w:t>
            </w:r>
          </w:p>
        </w:tc>
      </w:tr>
      <w:tr>
        <w:tc>
          <w:tcPr/>
          <w:p>
            <w:pPr>
              <w:pStyle w:val="Compact"/>
              <w:jc w:val="left"/>
            </w:pPr>
            <w:r>
              <w:t xml:space="preserve">ABS Plastic</w:t>
            </w:r>
          </w:p>
        </w:tc>
        <w:tc>
          <w:tcPr/>
          <w:p>
            <w:pPr>
              <w:pStyle w:val="Compact"/>
              <w:jc w:val="left"/>
            </w:pPr>
            <w:r>
              <w:t xml:space="preserve">4.20</w:t>
            </w:r>
          </w:p>
        </w:tc>
      </w:tr>
      <w:tr>
        <w:tc>
          <w:tcPr/>
          <w:p>
            <w:pPr>
              <w:pStyle w:val="Compact"/>
              <w:jc w:val="left"/>
            </w:pPr>
            <w:r>
              <w:t xml:space="preserve">Silicon Wafer</w:t>
            </w:r>
          </w:p>
        </w:tc>
        <w:tc>
          <w:tcPr/>
          <w:p>
            <w:pPr>
              <w:pStyle w:val="Compact"/>
              <w:jc w:val="left"/>
            </w:pPr>
            <w:r>
              <w:t xml:space="preserve">2.50</w:t>
            </w:r>
          </w:p>
        </w:tc>
      </w:tr>
      <w:tr>
        <w:tc>
          <w:tcPr/>
          <w:p>
            <w:pPr>
              <w:pStyle w:val="Compact"/>
              <w:jc w:val="left"/>
            </w:pPr>
            <w:r>
              <w:t xml:space="preserve">Lithium-Ion Battery</w:t>
            </w:r>
          </w:p>
        </w:tc>
        <w:tc>
          <w:tcPr/>
          <w:p>
            <w:pPr>
              <w:pStyle w:val="Compact"/>
              <w:jc w:val="left"/>
            </w:pPr>
            <w:r>
              <w:t xml:space="preserve">2.50</w:t>
            </w:r>
          </w:p>
        </w:tc>
      </w:tr>
      <w:tr>
        <w:tc>
          <w:tcPr/>
          <w:p>
            <w:pPr>
              <w:pStyle w:val="Compact"/>
              <w:jc w:val="left"/>
            </w:pPr>
            <w:r>
              <w:t xml:space="preserve">Cardboard Packaging</w:t>
            </w:r>
          </w:p>
        </w:tc>
        <w:tc>
          <w:tcPr/>
          <w:p>
            <w:pPr>
              <w:pStyle w:val="Compact"/>
              <w:jc w:val="left"/>
            </w:pPr>
            <w:r>
              <w:t xml:space="preserve">0.30</w:t>
            </w:r>
          </w:p>
        </w:tc>
      </w:tr>
      <w:tr>
        <w:tc>
          <w:tcPr/>
          <w:p>
            <w:pPr>
              <w:pStyle w:val="Compact"/>
              <w:jc w:val="left"/>
            </w:pPr>
            <w:r>
              <w:t xml:space="preserve">SUBTOTAL (Materials)</w:t>
            </w:r>
          </w:p>
        </w:tc>
        <w:tc>
          <w:tcPr/>
          <w:p>
            <w:pPr>
              <w:pStyle w:val="Compact"/>
              <w:jc w:val="left"/>
            </w:pPr>
            <w:r>
              <w:t xml:space="preserve">47.00 kg CO2e</w:t>
            </w:r>
          </w:p>
        </w:tc>
      </w:tr>
    </w:tbl>
    <w:bookmarkEnd w:id="36"/>
    <w:bookmarkStart w:id="37" w:name="manufacturing-assembly"/>
    <w:p>
      <w:pPr>
        <w:pStyle w:val="Heading3"/>
      </w:pPr>
      <w:r>
        <w:t xml:space="preserve">4.2. Manufacturing &amp; Assembly</w:t>
      </w:r>
    </w:p>
    <w:p>
      <w:pPr>
        <w:pStyle w:val="FirstParagraph"/>
      </w:pPr>
      <w:r>
        <w:t xml:space="preserve">This stage primarily involves energy consumption at the production facility in China.</w:t>
      </w:r>
    </w:p>
    <w:p>
      <w:pPr>
        <w:numPr>
          <w:ilvl w:val="0"/>
          <w:numId w:val="1015"/>
        </w:numPr>
        <w:pStyle w:val="Compact"/>
      </w:pPr>
      <w:r>
        <w:rPr>
          <w:bCs/>
          <w:b/>
        </w:rPr>
        <w:t xml:space="preserve">Scope 1 Emissions:</w:t>
      </w:r>
      <w:r>
        <w:t xml:space="preserve"> </w:t>
      </w:r>
      <w:r>
        <w:t xml:space="preserve">(Assumed negligible direct fuel combustion for this product in a modern factory setting; primary focus on Scope 2 and 3). Any direct emissions from owned/controlled processes would be included here.</w:t>
      </w:r>
    </w:p>
    <w:p>
      <w:pPr>
        <w:numPr>
          <w:ilvl w:val="0"/>
          <w:numId w:val="1015"/>
        </w:numPr>
        <w:pStyle w:val="Compact"/>
      </w:pPr>
      <w:r>
        <w:rPr>
          <w:bCs/>
          <w:b/>
        </w:rPr>
        <w:t xml:space="preserve">Scope 2 Emissions (Purchased Electricity):</w:t>
      </w:r>
    </w:p>
    <w:p>
      <w:pPr>
        <w:numPr>
          <w:ilvl w:val="1"/>
          <w:numId w:val="1016"/>
        </w:numPr>
        <w:pStyle w:val="Compact"/>
      </w:pPr>
      <w:r>
        <w:t xml:space="preserve">Energy Intensity: 15 kWh/unit</w:t>
      </w:r>
    </w:p>
    <w:p>
      <w:pPr>
        <w:numPr>
          <w:ilvl w:val="1"/>
          <w:numId w:val="1016"/>
        </w:numPr>
        <w:pStyle w:val="Compact"/>
      </w:pPr>
      <w:r>
        <w:t xml:space="preserve">Renewable Energy Usage: 50%</w:t>
      </w:r>
    </w:p>
    <w:p>
      <w:pPr>
        <w:numPr>
          <w:ilvl w:val="1"/>
          <w:numId w:val="1016"/>
        </w:numPr>
        <w:pStyle w:val="Compact"/>
      </w:pPr>
      <w:r>
        <w:t xml:space="preserve">Non-Renewable Electricity Consumed: 15 kWh/unit * (1 - 0.50) = 7.5 kWh/unit</w:t>
      </w:r>
    </w:p>
    <w:p>
      <w:pPr>
        <w:numPr>
          <w:ilvl w:val="1"/>
          <w:numId w:val="1016"/>
        </w:numPr>
        <w:pStyle w:val="Compact"/>
      </w:pPr>
      <w:r>
        <w:t xml:space="preserve">China Grid Average Emission Factor (2023): 0.6205 kg CO2e/kWh</w:t>
      </w:r>
    </w:p>
    <w:p>
      <w:pPr>
        <w:numPr>
          <w:ilvl w:val="1"/>
          <w:numId w:val="1016"/>
        </w:numPr>
        <w:pStyle w:val="Compact"/>
      </w:pPr>
      <w:r>
        <w:rPr>
          <w:bCs/>
          <w:b/>
        </w:rPr>
        <w:t xml:space="preserve">Calculation:</w:t>
      </w:r>
      <w:r>
        <w:t xml:space="preserve"> </w:t>
      </w:r>
      <w:r>
        <w:t xml:space="preserve">7.5 kWh/unit * 0.6205 kg CO2e/kWh =</w:t>
      </w:r>
      <w:r>
        <w:t xml:space="preserve"> </w:t>
      </w:r>
      <w:r>
        <w:rPr>
          <w:bCs/>
          <w:b/>
        </w:rPr>
        <w:t xml:space="preserve">4.65 kg CO2e/unit</w:t>
      </w:r>
    </w:p>
    <w:bookmarkEnd w:id="37"/>
    <w:bookmarkStart w:id="38" w:name="X0bc97d1b984b57a88fce811fd2a25aa2973662c"/>
    <w:p>
      <w:pPr>
        <w:pStyle w:val="Heading3"/>
      </w:pPr>
      <w:r>
        <w:t xml:space="preserve">4.3. Transportation &amp; Distribution (Scope 3 - Category 4: Upstream T&amp;D; Category 9: Downstream T&amp;D)</w:t>
      </w:r>
    </w:p>
    <w:p>
      <w:pPr>
        <w:pStyle w:val="FirstParagraph"/>
      </w:pPr>
      <w:r>
        <w:t xml:space="preserve">Emissions are calculated based on the mass of the product and packaging (4.1 kg = 0.0041 tonnes) and the illustrative transport distances and modes.</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Transportation 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Product Weight (tonnes)</w:t>
            </w:r>
          </w:p>
        </w:tc>
        <w:tc>
          <w:tcPr/>
          <w:p>
            <w:pPr>
              <w:pStyle w:val="Compact"/>
              <w:jc w:val="left"/>
            </w:pPr>
            <w:r>
              <w:t xml:space="preserve">Emission Factor (kg CO2e/tkm)</w:t>
            </w:r>
          </w:p>
        </w:tc>
        <w:tc>
          <w:tcPr/>
          <w:p>
            <w:pPr>
              <w:pStyle w:val="Compact"/>
              <w:jc w:val="left"/>
            </w:pPr>
            <w:r>
              <w:t xml:space="preserve">Emissions (kg CO2e)</w:t>
            </w:r>
          </w:p>
        </w:tc>
      </w:tr>
      <w:tr>
        <w:tc>
          <w:tcPr/>
          <w:p>
            <w:pPr>
              <w:pStyle w:val="Compact"/>
              <w:jc w:val="left"/>
            </w:pPr>
            <w:r>
              <w:t xml:space="preserve">Inbound (Europe to China)</w:t>
            </w:r>
          </w:p>
        </w:tc>
        <w:tc>
          <w:tcPr/>
          <w:p>
            <w:pPr>
              <w:pStyle w:val="Compact"/>
              <w:jc w:val="left"/>
            </w:pPr>
            <w:r>
              <w:t xml:space="preserve">Ocean Freight</w:t>
            </w:r>
          </w:p>
        </w:tc>
        <w:tc>
          <w:tcPr/>
          <w:p>
            <w:pPr>
              <w:pStyle w:val="Compact"/>
              <w:jc w:val="left"/>
            </w:pPr>
            <w:r>
              <w:t xml:space="preserve">10,000</w:t>
            </w:r>
          </w:p>
        </w:tc>
        <w:tc>
          <w:tcPr/>
          <w:p>
            <w:pPr>
              <w:pStyle w:val="Compact"/>
              <w:jc w:val="left"/>
            </w:pPr>
            <w:r>
              <w:t xml:space="preserve">0.0041</w:t>
            </w:r>
          </w:p>
        </w:tc>
        <w:tc>
          <w:tcPr/>
          <w:p>
            <w:pPr>
              <w:pStyle w:val="Compact"/>
              <w:jc w:val="left"/>
            </w:pPr>
            <w:r>
              <w:t xml:space="preserve">0.016</w:t>
            </w:r>
          </w:p>
        </w:tc>
        <w:tc>
          <w:tcPr/>
          <w:p>
            <w:pPr>
              <w:pStyle w:val="Compact"/>
              <w:jc w:val="left"/>
            </w:pPr>
            <w:r>
              <w:t xml:space="preserve">0.656</w:t>
            </w:r>
          </w:p>
        </w:tc>
      </w:tr>
      <w:tr>
        <w:tc>
          <w:tcPr/>
          <w:p>
            <w:pPr>
              <w:pStyle w:val="Compact"/>
              <w:jc w:val="left"/>
            </w:pPr>
            <w:r>
              <w:t xml:space="preserve">Inbound (within Europe)</w:t>
            </w:r>
          </w:p>
        </w:tc>
        <w:tc>
          <w:tcPr/>
          <w:p>
            <w:pPr>
              <w:pStyle w:val="Compact"/>
              <w:jc w:val="left"/>
            </w:pPr>
            <w:r>
              <w:t xml:space="preserve">Road Freight (Heavy Truck)</w:t>
            </w:r>
          </w:p>
        </w:tc>
        <w:tc>
          <w:tcPr/>
          <w:p>
            <w:pPr>
              <w:pStyle w:val="Compact"/>
              <w:jc w:val="left"/>
            </w:pPr>
            <w:r>
              <w:t xml:space="preserve">500</w:t>
            </w:r>
          </w:p>
        </w:tc>
        <w:tc>
          <w:tcPr/>
          <w:p>
            <w:pPr>
              <w:pStyle w:val="Compact"/>
              <w:jc w:val="left"/>
            </w:pPr>
            <w:r>
              <w:t xml:space="preserve">0.0041</w:t>
            </w:r>
          </w:p>
        </w:tc>
        <w:tc>
          <w:tcPr/>
          <w:p>
            <w:pPr>
              <w:pStyle w:val="Compact"/>
              <w:jc w:val="left"/>
            </w:pPr>
            <w:r>
              <w:t xml:space="preserve">0.09</w:t>
            </w:r>
          </w:p>
        </w:tc>
        <w:tc>
          <w:tcPr/>
          <w:p>
            <w:pPr>
              <w:pStyle w:val="Compact"/>
              <w:jc w:val="left"/>
            </w:pPr>
            <w:r>
              <w:t xml:space="preserve">0.185</w:t>
            </w:r>
          </w:p>
        </w:tc>
      </w:tr>
      <w:tr>
        <w:tc>
          <w:tcPr/>
          <w:p>
            <w:pPr>
              <w:pStyle w:val="Compact"/>
              <w:jc w:val="left"/>
            </w:pPr>
            <w:r>
              <w:t xml:space="preserve">Outbound (Last-Mile, China)</w:t>
            </w:r>
          </w:p>
        </w:tc>
        <w:tc>
          <w:tcPr/>
          <w:p>
            <w:pPr>
              <w:pStyle w:val="Compact"/>
              <w:jc w:val="left"/>
            </w:pPr>
            <w:r>
              <w:t xml:space="preserve">Road Freight (Light Van)</w:t>
            </w:r>
          </w:p>
        </w:tc>
        <w:tc>
          <w:tcPr/>
          <w:p>
            <w:pPr>
              <w:pStyle w:val="Compact"/>
              <w:jc w:val="left"/>
            </w:pPr>
            <w:r>
              <w:t xml:space="preserve">100</w:t>
            </w:r>
          </w:p>
        </w:tc>
        <w:tc>
          <w:tcPr/>
          <w:p>
            <w:pPr>
              <w:pStyle w:val="Compact"/>
              <w:jc w:val="left"/>
            </w:pPr>
            <w:r>
              <w:t xml:space="preserve">0.0041</w:t>
            </w:r>
          </w:p>
        </w:tc>
        <w:tc>
          <w:tcPr/>
          <w:p>
            <w:pPr>
              <w:pStyle w:val="Compact"/>
              <w:jc w:val="left"/>
            </w:pPr>
            <w:r>
              <w:t xml:space="preserve">0.20</w:t>
            </w:r>
          </w:p>
        </w:tc>
        <w:tc>
          <w:tcPr/>
          <w:p>
            <w:pPr>
              <w:pStyle w:val="Compact"/>
              <w:jc w:val="left"/>
            </w:pPr>
            <w:r>
              <w:t xml:space="preserve">0.082</w:t>
            </w:r>
          </w:p>
        </w:tc>
      </w:tr>
      <w:tr>
        <w:tc>
          <w:tcPr>
            <w:gridSpan w:val="5"/>
          </w:tcPr>
          <w:p>
            <w:pPr>
              <w:pStyle w:val="Compact"/>
              <w:jc w:val="left"/>
            </w:pPr>
            <w:r>
              <w:t xml:space="preserve">SUBTOTAL (Transportation)</w:t>
            </w:r>
          </w:p>
        </w:tc>
        <w:tc>
          <w:tcPr/>
          <w:p>
            <w:pPr>
              <w:pStyle w:val="Compact"/>
              <w:jc w:val="left"/>
            </w:pPr>
            <w:r>
              <w:t xml:space="preserve">0.92 kg CO2e</w:t>
            </w:r>
          </w:p>
        </w:tc>
      </w:tr>
    </w:tbl>
    <w:bookmarkEnd w:id="38"/>
    <w:bookmarkStart w:id="39" w:name="Xa16aa19c8664e96b1bcc71719d6b24638e0ae10"/>
    <w:p>
      <w:pPr>
        <w:pStyle w:val="Heading3"/>
      </w:pPr>
      <w:r>
        <w:t xml:space="preserve">4.4. Use Phase (Scope 3 Downstream - Category 11: Use of Sold Products)</w:t>
      </w:r>
    </w:p>
    <w:p>
      <w:pPr>
        <w:pStyle w:val="FirstParagraph"/>
      </w:pPr>
      <w:r>
        <w:t xml:space="preserve">Emissions from the product\'s energy consumption during its lifespan.</w:t>
      </w:r>
    </w:p>
    <w:p>
      <w:pPr>
        <w:numPr>
          <w:ilvl w:val="0"/>
          <w:numId w:val="1017"/>
        </w:numPr>
        <w:pStyle w:val="Compact"/>
      </w:pPr>
      <w:r>
        <w:t xml:space="preserve">Product Lifespan: 5 years</w:t>
      </w:r>
    </w:p>
    <w:p>
      <w:pPr>
        <w:numPr>
          <w:ilvl w:val="0"/>
          <w:numId w:val="1017"/>
        </w:numPr>
        <w:pStyle w:val="Compact"/>
      </w:pPr>
      <w:r>
        <w:t xml:space="preserve">Energy Consumption in Use: 20 kWh/year</w:t>
      </w:r>
    </w:p>
    <w:p>
      <w:pPr>
        <w:numPr>
          <w:ilvl w:val="0"/>
          <w:numId w:val="1017"/>
        </w:numPr>
        <w:pStyle w:val="Compact"/>
      </w:pPr>
      <w:r>
        <w:t xml:space="preserve">Illustrative User Electricity Emission Factor: 0.3 kg CO2e/kWh (representing a generic mix in user regions)</w:t>
      </w:r>
    </w:p>
    <w:p>
      <w:pPr>
        <w:numPr>
          <w:ilvl w:val="0"/>
          <w:numId w:val="1017"/>
        </w:numPr>
        <w:pStyle w:val="Compact"/>
      </w:pPr>
      <w:r>
        <w:rPr>
          <w:bCs/>
          <w:b/>
        </w:rPr>
        <w:t xml:space="preserve">Calculation:</w:t>
      </w:r>
      <w:r>
        <w:t xml:space="preserve"> </w:t>
      </w:r>
      <w:r>
        <w:t xml:space="preserve">5 years * 20 kWh/year * 0.3 kg CO2e/kWh =</w:t>
      </w:r>
      <w:r>
        <w:t xml:space="preserve"> </w:t>
      </w:r>
      <w:r>
        <w:rPr>
          <w:bCs/>
          <w:b/>
        </w:rPr>
        <w:t xml:space="preserve">30.00 kg CO2e/unit</w:t>
      </w:r>
    </w:p>
    <w:bookmarkEnd w:id="39"/>
    <w:bookmarkStart w:id="40" w:name="X9aa20f29f6a4b333ac28d65483d0e10fca0aeae"/>
    <w:p>
      <w:pPr>
        <w:pStyle w:val="Heading3"/>
      </w:pPr>
      <w:r>
        <w:t xml:space="preserve">4.5. End-of-Life (EoL) (Scope 3 Downstream - Category 12: End-of-Life Treatment of Sold Products)</w:t>
      </w:r>
    </w:p>
    <w:p>
      <w:pPr>
        <w:pStyle w:val="FirstParagraph"/>
      </w:pPr>
      <w:r>
        <w:t xml:space="preserve">Emissions related to the disposal of the product at the end of its life, considering recyclability and circular programs.</w:t>
      </w:r>
    </w:p>
    <w:p>
      <w:pPr>
        <w:numPr>
          <w:ilvl w:val="0"/>
          <w:numId w:val="1018"/>
        </w:numPr>
        <w:pStyle w:val="Compact"/>
      </w:pPr>
      <w:r>
        <w:t xml:space="preserve">Total Product Weight: 4.1 kg</w:t>
      </w:r>
    </w:p>
    <w:p>
      <w:pPr>
        <w:numPr>
          <w:ilvl w:val="0"/>
          <w:numId w:val="1018"/>
        </w:numPr>
        <w:pStyle w:val="Compact"/>
      </w:pPr>
      <w:r>
        <w:t xml:space="preserve">Recyclability Percentage: 80%</w:t>
      </w:r>
    </w:p>
    <w:p>
      <w:pPr>
        <w:numPr>
          <w:ilvl w:val="0"/>
          <w:numId w:val="1018"/>
        </w:numPr>
        <w:pStyle w:val="Compact"/>
      </w:pPr>
      <w:r>
        <w:t xml:space="preserve">Portion not recycled/disposed: 4.1 kg * (1 - 0.80) = 0.82 kg</w:t>
      </w:r>
    </w:p>
    <w:p>
      <w:pPr>
        <w:numPr>
          <w:ilvl w:val="0"/>
          <w:numId w:val="1018"/>
        </w:numPr>
        <w:pStyle w:val="Compact"/>
      </w:pPr>
      <w:r>
        <w:t xml:space="preserve">Generic EoL Disposal Emission Factor: 0.5 kg CO2e/kg (for landfill/incineration of non-recycled waste)</w:t>
      </w:r>
    </w:p>
    <w:p>
      <w:pPr>
        <w:numPr>
          <w:ilvl w:val="0"/>
          <w:numId w:val="1018"/>
        </w:numPr>
        <w:pStyle w:val="Compact"/>
      </w:pPr>
      <w:r>
        <w:rPr>
          <w:bCs/>
          <w:b/>
        </w:rPr>
        <w:t xml:space="preserve">Calculation:</w:t>
      </w:r>
      <w:r>
        <w:t xml:space="preserve"> </w:t>
      </w:r>
      <w:r>
        <w:t xml:space="preserve">0.82 kg * 0.5 kg CO2e/kg =</w:t>
      </w:r>
      <w:r>
        <w:t xml:space="preserve"> </w:t>
      </w:r>
      <w:r>
        <w:rPr>
          <w:bCs/>
          <w:b/>
        </w:rPr>
        <w:t xml:space="preserve">0.41 kg CO2e/unit</w:t>
      </w:r>
    </w:p>
    <w:p>
      <w:pPr>
        <w:pStyle w:val="FirstParagraph"/>
      </w:pPr>
      <w:r>
        <w:t xml:space="preserve">ylxxiqleym\'s company-operated take-back and recycling programs (`duhjsqgyro`) significantly mitigate the environmental burden by diverting materials from landfill and promoting circularity, leading to avoided emissions in new material production. The 80% recyclability rate (`sxddpztrhr`) further enhances this benefit, although explicit avoided burden credits are not quantified in this simplified calculation for clarity.</w:t>
      </w:r>
    </w:p>
    <w:bookmarkEnd w:id="40"/>
    <w:bookmarkStart w:id="41" w:name="Xdca57a0fe1a4247e3e7c896fe84bf9f7615d574"/>
    <w:p>
      <w:pPr>
        <w:pStyle w:val="Heading3"/>
      </w:pPr>
      <w:r>
        <w:t xml:space="preserve">4.6. Total Product Carbon Footprint (PCF) for xrzhiuensl</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 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&amp; Components</w:t>
            </w:r>
          </w:p>
        </w:tc>
        <w:tc>
          <w:tcPr/>
          <w:p>
            <w:pPr>
              <w:pStyle w:val="Compact"/>
              <w:jc w:val="left"/>
            </w:pPr>
            <w:r>
              <w:t xml:space="preserve">Scope 3 (Upstream)</w:t>
            </w:r>
          </w:p>
        </w:tc>
        <w:tc>
          <w:tcPr/>
          <w:p>
            <w:pPr>
              <w:pStyle w:val="Compact"/>
              <w:jc w:val="left"/>
            </w:pPr>
            <w:r>
              <w:t xml:space="preserve">47.00</w:t>
            </w:r>
          </w:p>
        </w:tc>
      </w:tr>
      <w:tr>
        <w:tc>
          <w:tcPr/>
          <w:p>
            <w:pPr>
              <w:pStyle w:val="Compact"/>
              <w:jc w:val="left"/>
            </w:pPr>
            <w:r>
              <w:t xml:space="preserve">Manufacturing &amp; Assembly</w:t>
            </w:r>
          </w:p>
        </w:tc>
        <w:tc>
          <w:tcPr/>
          <w:p>
            <w:pPr>
              <w:pStyle w:val="Compact"/>
              <w:jc w:val="left"/>
            </w:pPr>
            <w:r>
              <w:t xml:space="preserve">Scope 2</w:t>
            </w:r>
          </w:p>
        </w:tc>
        <w:tc>
          <w:tcPr/>
          <w:p>
            <w:pPr>
              <w:pStyle w:val="Compact"/>
              <w:jc w:val="left"/>
            </w:pPr>
            <w:r>
              <w:t xml:space="preserve">4.65</w:t>
            </w:r>
          </w:p>
        </w:tc>
      </w:tr>
      <w:tr>
        <w:tc>
          <w:tcPr/>
          <w:p>
            <w:pPr>
              <w:pStyle w:val="Compact"/>
              <w:jc w:val="left"/>
            </w:pPr>
            <w:r>
              <w:t xml:space="preserve">Transportation &amp; Distribution</w:t>
            </w:r>
          </w:p>
        </w:tc>
        <w:tc>
          <w:tcPr/>
          <w:p>
            <w:pPr>
              <w:pStyle w:val="Compact"/>
              <w:jc w:val="left"/>
            </w:pPr>
            <w:r>
              <w:t xml:space="preserve">Scope 3 (Upstream &amp; Downstream)</w:t>
            </w:r>
          </w:p>
        </w:tc>
        <w:tc>
          <w:tcPr/>
          <w:p>
            <w:pPr>
              <w:pStyle w:val="Compact"/>
              <w:jc w:val="left"/>
            </w:pPr>
            <w:r>
              <w:t xml:space="preserve">0.92</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30.00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0.41</w:t>
            </w:r>
          </w:p>
        </w:tc>
      </w:tr>
      <w:tr>
        <w:tc>
          <w:tcPr>
            <w:gridSpan w:val="2"/>
          </w:tcPr>
          <w:p>
            <w:pPr>
              <w:pStyle w:val="Compact"/>
              <w:jc w:val="left"/>
            </w:pPr>
            <w:r>
              <w:t xml:space="preserve">TOTAL PRODUCT CARBON FOOTPRINT</w:t>
            </w:r>
          </w:p>
        </w:tc>
        <w:tc>
          <w:tcPr/>
          <w:p>
            <w:pPr>
              <w:pStyle w:val="Compact"/>
              <w:jc w:val="left"/>
            </w:pPr>
            <w:r>
              <w:t xml:space="preserve">82.99 kg CO2e</w:t>
            </w:r>
          </w:p>
        </w:tc>
      </w:tr>
    </w:tbl>
    <w:p>
      <w:r>
        <w:pict>
          <v:rect style="width:0;height:1.5pt" o:hralign="center" o:hrstd="t" o:hr="t"/>
        </w:pict>
      </w:r>
    </w:p>
    <w:bookmarkEnd w:id="41"/>
    <w:bookmarkEnd w:id="42"/>
    <w:bookmarkStart w:id="46" w:name="review-reporting"/>
    <w:p>
      <w:pPr>
        <w:pStyle w:val="Heading2"/>
      </w:pPr>
      <w:r>
        <w:t xml:space="preserve">5. Review &amp; Reporting</w:t>
      </w:r>
    </w:p>
    <w:bookmarkStart w:id="43" w:name="hotspot-analysis"/>
    <w:p>
      <w:pPr>
        <w:pStyle w:val="Heading3"/>
      </w:pPr>
      <w:r>
        <w:t xml:space="preserve">5.1. Hotspot Analysis</w:t>
      </w:r>
    </w:p>
    <w:p>
      <w:pPr>
        <w:pStyle w:val="FirstParagraph"/>
      </w:pPr>
      <w:r>
        <w:t xml:space="preserve">Based on the calculations, the primary carbon hotspots for xrzhiuensl are:</w:t>
      </w:r>
    </w:p>
    <w:p>
      <w:pPr>
        <w:numPr>
          <w:ilvl w:val="0"/>
          <w:numId w:val="1019"/>
        </w:numPr>
        <w:pStyle w:val="Compact"/>
      </w:pPr>
      <w:r>
        <w:rPr>
          <w:bCs/>
          <w:b/>
        </w:rPr>
        <w:t xml:space="preserve">Materials &amp; Components (Scope 3 Upstream):</w:t>
      </w:r>
      <w:r>
        <w:t xml:space="preserve"> </w:t>
      </w:r>
      <w:r>
        <w:t xml:space="preserve">Representing the largest share at approximately 56.6% (47.00 kg CO2e). This highlights the significant impact of raw material extraction and processing, particularly for high-intensity materials like Aluminium Alloy and Silicon Wafer.</w:t>
      </w:r>
    </w:p>
    <w:p>
      <w:pPr>
        <w:numPr>
          <w:ilvl w:val="0"/>
          <w:numId w:val="1019"/>
        </w:numPr>
        <w:pStyle w:val="Compact"/>
      </w:pPr>
      <w:r>
        <w:rPr>
          <w:bCs/>
          <w:b/>
        </w:rPr>
        <w:t xml:space="preserve">Use Phase (Scope 3 Downstream):</w:t>
      </w:r>
      <w:r>
        <w:t xml:space="preserve"> </w:t>
      </w:r>
      <w:r>
        <w:t xml:space="preserve">Contributing approximately 36.2% (30.00 kg CO2e). This indicates that the energy consumption during the product\'s operational life is a critical area for reduction efforts, even with a 5-year lifespan.</w:t>
      </w:r>
    </w:p>
    <w:p>
      <w:pPr>
        <w:numPr>
          <w:ilvl w:val="0"/>
          <w:numId w:val="1019"/>
        </w:numPr>
        <w:pStyle w:val="Compact"/>
      </w:pPr>
      <w:r>
        <w:rPr>
          <w:bCs/>
          <w:b/>
        </w:rPr>
        <w:t xml:space="preserve">Manufacturing (Scope 2):</w:t>
      </w:r>
      <w:r>
        <w:t xml:space="preserve"> </w:t>
      </w:r>
      <w:r>
        <w:t xml:space="preserve">Accounts for about 5.6% (4.65 kg CO2e), indicating that while renewable energy usage helps, further decarbonization of the grid or increased renewable energy procurement can reduce this impact.</w:t>
      </w:r>
    </w:p>
    <w:p>
      <w:pPr>
        <w:numPr>
          <w:ilvl w:val="0"/>
          <w:numId w:val="1019"/>
        </w:numPr>
        <w:pStyle w:val="Compact"/>
      </w:pPr>
      <w:r>
        <w:rPr>
          <w:bCs/>
          <w:b/>
        </w:rPr>
        <w:t xml:space="preserve">Transportation and End-of-Life:</w:t>
      </w:r>
      <w:r>
        <w:t xml:space="preserve"> </w:t>
      </w:r>
      <w:r>
        <w:t xml:space="preserve">While important, these stages contribute relatively smaller percentages (1.1% and 0.5% respectively) to the overall PCF in this illustrative scenario, though optimizing logistics and maximizing recycling remain crucial for holistic sustainability.</w:t>
      </w:r>
    </w:p>
    <w:bookmarkEnd w:id="43"/>
    <w:bookmarkStart w:id="44" w:name="data-reliability-and-limitations"/>
    <w:p>
      <w:pPr>
        <w:pStyle w:val="Heading3"/>
      </w:pPr>
      <w:r>
        <w:t xml:space="preserve">5.2. Data Reliability and Limitations</w:t>
      </w:r>
    </w:p>
    <w:p>
      <w:pPr>
        <w:pStyle w:val="FirstParagraph"/>
      </w:pPr>
      <w:r>
        <w:t xml:space="preserve">The reliability of this PCF analysis is directly dependent on the accuracy and representativeness of the input data. Due to the placeholder nature of several parameters, illustrative values have been used, which may not precisely reflect ylxxiqleym\'s actual supply chain and operational data. The emission factors used are based on industry averages (e.g., Ecoinvent, DEFRA/BEIS), providing a robust estimation but may not capture highly specific process efficiencies or regional variations not accounted for in general databases. The conceptual application of the 2026 LSR Standard and the 95% Scope 3 coverage goal emphasizes adherence to best practices, with a recommendation for continuous collection of primary data for enhanced accuracy.</w:t>
      </w:r>
    </w:p>
    <w:bookmarkEnd w:id="44"/>
    <w:bookmarkStart w:id="45" w:name="recommendations-for-ylxxiqleym"/>
    <w:p>
      <w:pPr>
        <w:pStyle w:val="Heading3"/>
      </w:pPr>
      <w:r>
        <w:t xml:space="preserve">5.3. Recommendations for ylxxiqleym</w:t>
      </w:r>
    </w:p>
    <w:p>
      <w:pPr>
        <w:numPr>
          <w:ilvl w:val="0"/>
          <w:numId w:val="1020"/>
        </w:numPr>
        <w:pStyle w:val="Compact"/>
      </w:pPr>
      <w:r>
        <w:rPr>
          <w:bCs/>
          <w:b/>
        </w:rPr>
        <w:t xml:space="preserve">Material Optimization:</w:t>
      </w:r>
      <w:r>
        <w:t xml:space="preserve"> </w:t>
      </w:r>
      <w:r>
        <w:t xml:space="preserve">Investigate opportunities to reduce the quantity of high-impact materials, explore alternative low-carbon materials, or increase the recycled content of Aluminium Alloy and Silicon Wafer.</w:t>
      </w:r>
    </w:p>
    <w:p>
      <w:pPr>
        <w:numPr>
          <w:ilvl w:val="0"/>
          <w:numId w:val="1020"/>
        </w:numPr>
        <w:pStyle w:val="Compact"/>
      </w:pPr>
      <w:r>
        <w:rPr>
          <w:bCs/>
          <w:b/>
        </w:rPr>
        <w:t xml:space="preserve">Energy Efficiency &amp; Renewables:</w:t>
      </w:r>
      <w:r>
        <w:t xml:space="preserve"> </w:t>
      </w:r>
      <w:r>
        <w:t xml:space="preserve">Continue to invest in renewable energy procurement and on-site generation at manufacturing facilities, and improve energy efficiency of production processes.</w:t>
      </w:r>
    </w:p>
    <w:p>
      <w:pPr>
        <w:numPr>
          <w:ilvl w:val="0"/>
          <w:numId w:val="1020"/>
        </w:numPr>
        <w:pStyle w:val="Compact"/>
      </w:pPr>
      <w:r>
        <w:rPr>
          <w:bCs/>
          <w:b/>
        </w:rPr>
        <w:t xml:space="preserve">Product Design for Longevity &amp; Efficiency:</w:t>
      </w:r>
      <w:r>
        <w:t xml:space="preserve"> </w:t>
      </w:r>
      <w:r>
        <w:t xml:space="preserve">Focus on designing products that are more energy-efficient during the use phase and consider modular design for easier repair and upgrades to extend lifespan.</w:t>
      </w:r>
    </w:p>
    <w:p>
      <w:pPr>
        <w:numPr>
          <w:ilvl w:val="0"/>
          <w:numId w:val="1020"/>
        </w:numPr>
        <w:pStyle w:val="Compact"/>
      </w:pPr>
      <w:r>
        <w:rPr>
          <w:bCs/>
          <w:b/>
        </w:rPr>
        <w:t xml:space="preserve">Enhance Circular Economy Initiatives:</w:t>
      </w:r>
      <w:r>
        <w:t xml:space="preserve"> </w:t>
      </w:r>
      <w:r>
        <w:t xml:space="preserve">Strengthen take-back and recycling programs, and explore partnerships to ensure high recovery and recycling rates for product components at end-of-life.</w:t>
      </w:r>
    </w:p>
    <w:p>
      <w:pPr>
        <w:numPr>
          <w:ilvl w:val="0"/>
          <w:numId w:val="1020"/>
        </w:numPr>
        <w:pStyle w:val="Compact"/>
      </w:pPr>
      <w:r>
        <w:rPr>
          <w:bCs/>
          <w:b/>
        </w:rPr>
        <w:t xml:space="preserve">Supply Chain Engagement:</w:t>
      </w:r>
      <w:r>
        <w:t xml:space="preserve"> </w:t>
      </w:r>
      <w:r>
        <w:t xml:space="preserve">Collaborate with suppliers to identify and implement emissions reduction strategies upstream, encouraging them to provide product-specific primary data for more accurate Scope 3 reporting.</w:t>
      </w:r>
    </w:p>
    <w:p>
      <w:r>
        <w:pict>
          <v:rect style="width:0;height:1.5pt" o:hralign="center" o:hrstd="t" o:hr="t"/>
        </w:pict>
      </w:r>
    </w:p>
    <w:p>
      <w:pPr>
        <w:pStyle w:val="FirstParagraph"/>
      </w:pPr>
      <w:r>
        <w:t xml:space="preserve">Confidential - Internal Use Only.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xrzhiuensl</dc:title>
  <dc:creator/>
  <dc:description>Detailed Product Carbon Footprint (PCF) analysis report for xrzhiuensl, conducted by nsrdheervm for ylxxiqleym, adhering to GHG Protocol standards and including Scope 1, 2, and 3 emissions.</dc:description>
  <dc:language>en</dc:language>
  <cp:keywords/>
  <dcterms:created xsi:type="dcterms:W3CDTF">2026-05-30T18:37:27Z</dcterms:created>
  <dcterms:modified xsi:type="dcterms:W3CDTF">2026-05-30T18:37:27Z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